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B19" w:rsidRDefault="000F25FD">
      <w:pPr>
        <w:pStyle w:val="Ttulo"/>
        <w:rPr>
          <w:rFonts w:ascii="Arial" w:hAnsi="Arial" w:cs="Arial"/>
          <w:sz w:val="22"/>
          <w:szCs w:val="22"/>
        </w:rPr>
      </w:pPr>
      <w:r w:rsidRPr="00210C83">
        <w:rPr>
          <w:rFonts w:ascii="Arial" w:hAnsi="Arial" w:cs="Arial"/>
          <w:sz w:val="22"/>
          <w:szCs w:val="22"/>
        </w:rPr>
        <w:t xml:space="preserve">INFORME </w:t>
      </w:r>
      <w:r w:rsidR="0059006A">
        <w:rPr>
          <w:rFonts w:ascii="Arial" w:hAnsi="Arial" w:cs="Arial"/>
          <w:sz w:val="22"/>
          <w:szCs w:val="22"/>
        </w:rPr>
        <w:t>ANUAL</w:t>
      </w:r>
      <w:r w:rsidR="00210C83" w:rsidRPr="00210C83">
        <w:rPr>
          <w:rFonts w:ascii="Arial" w:hAnsi="Arial" w:cs="Arial"/>
          <w:sz w:val="22"/>
          <w:szCs w:val="22"/>
        </w:rPr>
        <w:t xml:space="preserve"> 201</w:t>
      </w:r>
      <w:r w:rsidR="00D74892">
        <w:rPr>
          <w:rFonts w:ascii="Arial" w:hAnsi="Arial" w:cs="Arial"/>
          <w:sz w:val="22"/>
          <w:szCs w:val="22"/>
        </w:rPr>
        <w:t>7</w:t>
      </w:r>
    </w:p>
    <w:p w:rsidR="00082503" w:rsidRDefault="00082503">
      <w:pPr>
        <w:pStyle w:val="Ttulo"/>
        <w:rPr>
          <w:rFonts w:ascii="Arial" w:hAnsi="Arial" w:cs="Arial"/>
          <w:sz w:val="22"/>
          <w:szCs w:val="22"/>
        </w:rPr>
      </w:pPr>
      <w:r>
        <w:rPr>
          <w:rFonts w:ascii="Arial" w:hAnsi="Arial" w:cs="Arial"/>
          <w:sz w:val="22"/>
          <w:szCs w:val="22"/>
        </w:rPr>
        <w:t>DINADECO</w:t>
      </w:r>
    </w:p>
    <w:p w:rsidR="009B3434" w:rsidRDefault="009B3434" w:rsidP="009B3434">
      <w:pPr>
        <w:rPr>
          <w:rFonts w:ascii="Arial" w:hAnsi="Arial" w:cs="Arial"/>
          <w:b/>
          <w:sz w:val="20"/>
          <w:szCs w:val="20"/>
          <w:u w:val="single"/>
        </w:rPr>
      </w:pPr>
    </w:p>
    <w:p w:rsidR="009B3434" w:rsidRDefault="009B3434" w:rsidP="009B3434">
      <w:pPr>
        <w:rPr>
          <w:rFonts w:ascii="Arial" w:hAnsi="Arial" w:cs="Arial"/>
          <w:b/>
          <w:sz w:val="20"/>
          <w:szCs w:val="20"/>
          <w:u w:val="single"/>
        </w:rPr>
      </w:pPr>
    </w:p>
    <w:p w:rsidR="009B3434" w:rsidRDefault="009B3434" w:rsidP="009C4004">
      <w:pPr>
        <w:spacing w:line="360" w:lineRule="auto"/>
        <w:jc w:val="both"/>
        <w:rPr>
          <w:rFonts w:ascii="Arial" w:hAnsi="Arial" w:cs="Arial"/>
          <w:bCs/>
          <w:sz w:val="20"/>
          <w:szCs w:val="20"/>
        </w:rPr>
      </w:pPr>
      <w:r w:rsidRPr="00421A08">
        <w:rPr>
          <w:rFonts w:ascii="Arial" w:hAnsi="Arial" w:cs="Arial"/>
          <w:b/>
          <w:sz w:val="20"/>
          <w:szCs w:val="20"/>
          <w:u w:val="single"/>
        </w:rPr>
        <w:t>Objetivo:</w:t>
      </w:r>
      <w:r w:rsidR="009C4004" w:rsidRPr="00A67CBE">
        <w:rPr>
          <w:rFonts w:ascii="Arial" w:hAnsi="Arial" w:cs="Arial"/>
          <w:b/>
          <w:sz w:val="20"/>
          <w:szCs w:val="20"/>
        </w:rPr>
        <w:t xml:space="preserve"> </w:t>
      </w:r>
      <w:r w:rsidRPr="003F6036">
        <w:rPr>
          <w:rFonts w:ascii="Arial" w:hAnsi="Arial" w:cs="Arial"/>
          <w:bCs/>
          <w:sz w:val="20"/>
          <w:szCs w:val="20"/>
        </w:rPr>
        <w:t xml:space="preserve">Conocer la </w:t>
      </w:r>
      <w:r w:rsidR="00730BEE">
        <w:rPr>
          <w:rFonts w:ascii="Arial" w:hAnsi="Arial" w:cs="Arial"/>
          <w:bCs/>
          <w:sz w:val="20"/>
          <w:szCs w:val="20"/>
        </w:rPr>
        <w:t xml:space="preserve">situación de la </w:t>
      </w:r>
      <w:r w:rsidRPr="003F6036">
        <w:rPr>
          <w:rFonts w:ascii="Arial" w:hAnsi="Arial" w:cs="Arial"/>
          <w:bCs/>
          <w:sz w:val="20"/>
          <w:szCs w:val="20"/>
        </w:rPr>
        <w:t>gestión</w:t>
      </w:r>
      <w:r w:rsidR="00E06A42">
        <w:rPr>
          <w:rFonts w:ascii="Arial" w:hAnsi="Arial" w:cs="Arial"/>
          <w:bCs/>
          <w:sz w:val="20"/>
          <w:szCs w:val="20"/>
        </w:rPr>
        <w:t xml:space="preserve"> física y financiera</w:t>
      </w:r>
      <w:r w:rsidR="00472371">
        <w:rPr>
          <w:rFonts w:ascii="Arial" w:hAnsi="Arial" w:cs="Arial"/>
          <w:bCs/>
          <w:sz w:val="20"/>
          <w:szCs w:val="20"/>
        </w:rPr>
        <w:t xml:space="preserve"> institucional</w:t>
      </w:r>
      <w:r w:rsidR="000E0056">
        <w:rPr>
          <w:rFonts w:ascii="Arial" w:hAnsi="Arial" w:cs="Arial"/>
          <w:bCs/>
          <w:sz w:val="20"/>
          <w:szCs w:val="20"/>
        </w:rPr>
        <w:t xml:space="preserve"> </w:t>
      </w:r>
      <w:r w:rsidR="00DF31DC">
        <w:rPr>
          <w:rFonts w:ascii="Arial" w:hAnsi="Arial" w:cs="Arial"/>
          <w:bCs/>
          <w:sz w:val="20"/>
          <w:szCs w:val="20"/>
        </w:rPr>
        <w:t>d</w:t>
      </w:r>
      <w:r w:rsidR="006F675B" w:rsidRPr="003F6036">
        <w:rPr>
          <w:rFonts w:ascii="Arial" w:hAnsi="Arial" w:cs="Arial"/>
          <w:bCs/>
          <w:sz w:val="20"/>
          <w:szCs w:val="20"/>
        </w:rPr>
        <w:t xml:space="preserve">el </w:t>
      </w:r>
      <w:r w:rsidRPr="003F6036">
        <w:rPr>
          <w:rFonts w:ascii="Arial" w:hAnsi="Arial" w:cs="Arial"/>
          <w:bCs/>
          <w:sz w:val="20"/>
          <w:szCs w:val="20"/>
        </w:rPr>
        <w:t>ejercicio económico 201</w:t>
      </w:r>
      <w:r w:rsidR="00D74892">
        <w:rPr>
          <w:rFonts w:ascii="Arial" w:hAnsi="Arial" w:cs="Arial"/>
          <w:bCs/>
          <w:sz w:val="20"/>
          <w:szCs w:val="20"/>
        </w:rPr>
        <w:t>7</w:t>
      </w:r>
      <w:r w:rsidR="007F2C53">
        <w:rPr>
          <w:rFonts w:ascii="Arial" w:hAnsi="Arial" w:cs="Arial"/>
          <w:bCs/>
          <w:sz w:val="20"/>
          <w:szCs w:val="20"/>
        </w:rPr>
        <w:t xml:space="preserve"> e </w:t>
      </w:r>
      <w:r w:rsidR="000E0056">
        <w:rPr>
          <w:rFonts w:ascii="Arial" w:hAnsi="Arial" w:cs="Arial"/>
          <w:bCs/>
          <w:sz w:val="20"/>
          <w:szCs w:val="20"/>
        </w:rPr>
        <w:t>i</w:t>
      </w:r>
      <w:r w:rsidR="00A67CBE">
        <w:rPr>
          <w:rFonts w:ascii="Arial" w:hAnsi="Arial" w:cs="Arial"/>
          <w:bCs/>
          <w:sz w:val="20"/>
          <w:szCs w:val="20"/>
        </w:rPr>
        <w:t>dentifica</w:t>
      </w:r>
      <w:r w:rsidR="00101157">
        <w:rPr>
          <w:rFonts w:ascii="Arial" w:hAnsi="Arial" w:cs="Arial"/>
          <w:bCs/>
          <w:sz w:val="20"/>
          <w:szCs w:val="20"/>
        </w:rPr>
        <w:t xml:space="preserve">r </w:t>
      </w:r>
      <w:r w:rsidR="00B21BA7">
        <w:rPr>
          <w:rFonts w:ascii="Arial" w:hAnsi="Arial" w:cs="Arial"/>
          <w:bCs/>
          <w:sz w:val="20"/>
          <w:szCs w:val="20"/>
        </w:rPr>
        <w:t xml:space="preserve">desviaciones </w:t>
      </w:r>
      <w:r w:rsidR="0059006A">
        <w:rPr>
          <w:rFonts w:ascii="Arial" w:hAnsi="Arial" w:cs="Arial"/>
          <w:bCs/>
          <w:sz w:val="20"/>
          <w:szCs w:val="20"/>
        </w:rPr>
        <w:t>y causas, así como acciones correc</w:t>
      </w:r>
      <w:r w:rsidR="00B56E80">
        <w:rPr>
          <w:rFonts w:ascii="Arial" w:hAnsi="Arial" w:cs="Arial"/>
          <w:bCs/>
          <w:sz w:val="20"/>
          <w:szCs w:val="20"/>
        </w:rPr>
        <w:t>t</w:t>
      </w:r>
      <w:r w:rsidR="0059006A">
        <w:rPr>
          <w:rFonts w:ascii="Arial" w:hAnsi="Arial" w:cs="Arial"/>
          <w:bCs/>
          <w:sz w:val="20"/>
          <w:szCs w:val="20"/>
        </w:rPr>
        <w:t>ivas</w:t>
      </w:r>
      <w:r w:rsidR="00BA6591">
        <w:rPr>
          <w:rFonts w:ascii="Arial" w:hAnsi="Arial" w:cs="Arial"/>
          <w:bCs/>
          <w:sz w:val="20"/>
          <w:szCs w:val="20"/>
        </w:rPr>
        <w:t>.</w:t>
      </w:r>
      <w:r w:rsidRPr="003F6036">
        <w:rPr>
          <w:rFonts w:ascii="Arial" w:hAnsi="Arial" w:cs="Arial"/>
          <w:bCs/>
          <w:sz w:val="20"/>
          <w:szCs w:val="20"/>
        </w:rPr>
        <w:t xml:space="preserve"> </w:t>
      </w:r>
    </w:p>
    <w:p w:rsidR="009470D5" w:rsidRPr="003F6036" w:rsidRDefault="009470D5" w:rsidP="009C4004">
      <w:pPr>
        <w:spacing w:line="360" w:lineRule="auto"/>
        <w:jc w:val="both"/>
        <w:rPr>
          <w:rFonts w:ascii="Arial" w:hAnsi="Arial" w:cs="Arial"/>
          <w:bCs/>
          <w:sz w:val="20"/>
          <w:szCs w:val="20"/>
        </w:rPr>
      </w:pPr>
    </w:p>
    <w:p w:rsidR="007B16AB" w:rsidRPr="007E5940" w:rsidRDefault="007B16AB">
      <w:pPr>
        <w:rPr>
          <w:rFonts w:ascii="Arial" w:hAnsi="Arial" w:cs="Arial"/>
        </w:rPr>
      </w:pPr>
    </w:p>
    <w:p w:rsidR="009B3434" w:rsidRPr="009B3434" w:rsidRDefault="009B3434" w:rsidP="00942F49">
      <w:pPr>
        <w:pStyle w:val="Textoindependiente"/>
        <w:numPr>
          <w:ilvl w:val="0"/>
          <w:numId w:val="4"/>
        </w:numPr>
        <w:spacing w:line="360" w:lineRule="auto"/>
        <w:jc w:val="both"/>
        <w:outlineLvl w:val="0"/>
        <w:rPr>
          <w:rFonts w:ascii="Arial" w:hAnsi="Arial" w:cs="Arial"/>
          <w:bCs/>
          <w:sz w:val="22"/>
          <w:szCs w:val="22"/>
        </w:rPr>
      </w:pPr>
      <w:r w:rsidRPr="009B3434">
        <w:rPr>
          <w:rFonts w:ascii="Arial" w:hAnsi="Arial" w:cs="Arial"/>
          <w:b/>
          <w:bCs/>
          <w:sz w:val="22"/>
          <w:szCs w:val="22"/>
        </w:rPr>
        <w:t>A</w:t>
      </w:r>
      <w:r w:rsidR="004D68B9">
        <w:rPr>
          <w:rFonts w:ascii="Arial" w:hAnsi="Arial" w:cs="Arial"/>
          <w:b/>
          <w:bCs/>
          <w:sz w:val="22"/>
          <w:szCs w:val="22"/>
        </w:rPr>
        <w:t>PARTADO</w:t>
      </w:r>
      <w:r w:rsidRPr="009B3434">
        <w:rPr>
          <w:rFonts w:ascii="Arial" w:hAnsi="Arial" w:cs="Arial"/>
          <w:b/>
          <w:bCs/>
          <w:sz w:val="22"/>
          <w:szCs w:val="22"/>
        </w:rPr>
        <w:t xml:space="preserve"> INSTITUCIONAL</w:t>
      </w:r>
    </w:p>
    <w:p w:rsidR="007B16AB" w:rsidRPr="00421A08" w:rsidRDefault="007B16AB" w:rsidP="004E63CF">
      <w:pPr>
        <w:ind w:left="360"/>
        <w:jc w:val="both"/>
        <w:rPr>
          <w:rFonts w:ascii="Arial" w:hAnsi="Arial" w:cs="Arial"/>
          <w:b/>
          <w:bCs/>
          <w:sz w:val="20"/>
          <w:szCs w:val="20"/>
          <w:lang w:val="es-MX"/>
        </w:rPr>
      </w:pPr>
    </w:p>
    <w:p w:rsidR="007B16AB" w:rsidRDefault="00044EBB" w:rsidP="009B3434">
      <w:pPr>
        <w:rPr>
          <w:rFonts w:ascii="Arial" w:hAnsi="Arial" w:cs="Arial"/>
          <w:b/>
          <w:bCs/>
          <w:sz w:val="20"/>
          <w:szCs w:val="20"/>
          <w:lang w:val="es-MX"/>
        </w:rPr>
      </w:pPr>
      <w:r>
        <w:rPr>
          <w:rFonts w:ascii="Arial" w:hAnsi="Arial" w:cs="Arial"/>
          <w:b/>
          <w:bCs/>
          <w:sz w:val="20"/>
          <w:szCs w:val="20"/>
          <w:lang w:val="es-MX"/>
        </w:rPr>
        <w:t>1.1</w:t>
      </w:r>
      <w:r w:rsidR="009B3434">
        <w:rPr>
          <w:rFonts w:ascii="Arial" w:hAnsi="Arial" w:cs="Arial"/>
          <w:b/>
          <w:bCs/>
          <w:sz w:val="20"/>
          <w:szCs w:val="20"/>
          <w:lang w:val="es-MX"/>
        </w:rPr>
        <w:t xml:space="preserve">. </w:t>
      </w:r>
      <w:r w:rsidR="00D06894">
        <w:rPr>
          <w:rFonts w:ascii="Arial" w:hAnsi="Arial" w:cs="Arial"/>
          <w:b/>
          <w:bCs/>
          <w:sz w:val="20"/>
          <w:szCs w:val="20"/>
          <w:lang w:val="es-MX"/>
        </w:rPr>
        <w:t xml:space="preserve">Gestión </w:t>
      </w:r>
      <w:r w:rsidR="007B16AB" w:rsidRPr="00210C83">
        <w:rPr>
          <w:rFonts w:ascii="Arial" w:hAnsi="Arial" w:cs="Arial"/>
          <w:b/>
          <w:bCs/>
          <w:sz w:val="20"/>
          <w:szCs w:val="20"/>
          <w:lang w:val="es-MX"/>
        </w:rPr>
        <w:t xml:space="preserve">financiera: </w:t>
      </w:r>
    </w:p>
    <w:p w:rsidR="00863DCC" w:rsidRDefault="00863DCC" w:rsidP="009B3434">
      <w:pPr>
        <w:rPr>
          <w:rFonts w:ascii="Arial" w:hAnsi="Arial" w:cs="Arial"/>
          <w:b/>
          <w:bCs/>
          <w:sz w:val="20"/>
          <w:szCs w:val="20"/>
          <w:lang w:val="es-MX"/>
        </w:rPr>
      </w:pPr>
    </w:p>
    <w:p w:rsidR="007664ED" w:rsidRPr="000E459C" w:rsidRDefault="00863DCC" w:rsidP="00863DCC">
      <w:pPr>
        <w:spacing w:after="120" w:line="360" w:lineRule="auto"/>
        <w:jc w:val="both"/>
        <w:rPr>
          <w:rFonts w:ascii="Arial" w:hAnsi="Arial" w:cs="Arial"/>
          <w:b/>
          <w:sz w:val="20"/>
          <w:szCs w:val="20"/>
          <w:u w:val="single"/>
          <w:lang w:val="es-ES_tradnl"/>
        </w:rPr>
      </w:pPr>
      <w:bookmarkStart w:id="0" w:name="OLE_LINK1"/>
      <w:bookmarkStart w:id="1" w:name="OLE_LINK2"/>
      <w:bookmarkStart w:id="2" w:name="OLE_LINK6"/>
      <w:r w:rsidRPr="000E459C">
        <w:rPr>
          <w:rFonts w:ascii="Arial" w:hAnsi="Arial" w:cs="Arial"/>
          <w:sz w:val="20"/>
          <w:szCs w:val="20"/>
          <w:lang w:val="es-ES_tradnl"/>
        </w:rPr>
        <w:t>E</w:t>
      </w:r>
      <w:r w:rsidR="00A40A5E" w:rsidRPr="000E459C">
        <w:rPr>
          <w:rFonts w:ascii="Arial" w:hAnsi="Arial" w:cs="Arial"/>
          <w:sz w:val="20"/>
          <w:szCs w:val="20"/>
          <w:lang w:val="es-ES_tradnl"/>
        </w:rPr>
        <w:t>n e</w:t>
      </w:r>
      <w:r w:rsidRPr="000E459C">
        <w:rPr>
          <w:rFonts w:ascii="Arial" w:hAnsi="Arial" w:cs="Arial"/>
          <w:sz w:val="20"/>
          <w:szCs w:val="20"/>
          <w:lang w:val="es-ES_tradnl"/>
        </w:rPr>
        <w:t>l siguiente cuadro la institución debe incluir los datos de los recursos autorizados y ejecutados al 3</w:t>
      </w:r>
      <w:r w:rsidR="0059006A">
        <w:rPr>
          <w:rFonts w:ascii="Arial" w:hAnsi="Arial" w:cs="Arial"/>
          <w:sz w:val="20"/>
          <w:szCs w:val="20"/>
          <w:lang w:val="es-ES_tradnl"/>
        </w:rPr>
        <w:t xml:space="preserve">1 </w:t>
      </w:r>
      <w:r w:rsidRPr="000E459C">
        <w:rPr>
          <w:rFonts w:ascii="Arial" w:hAnsi="Arial" w:cs="Arial"/>
          <w:sz w:val="20"/>
          <w:szCs w:val="20"/>
          <w:lang w:val="es-ES_tradnl"/>
        </w:rPr>
        <w:t xml:space="preserve">de </w:t>
      </w:r>
      <w:r w:rsidR="0059006A">
        <w:rPr>
          <w:rFonts w:ascii="Arial" w:hAnsi="Arial" w:cs="Arial"/>
          <w:sz w:val="20"/>
          <w:szCs w:val="20"/>
          <w:lang w:val="es-ES_tradnl"/>
        </w:rPr>
        <w:t>diciembre</w:t>
      </w:r>
      <w:r w:rsidRPr="000E459C">
        <w:rPr>
          <w:rFonts w:ascii="Arial" w:hAnsi="Arial" w:cs="Arial"/>
          <w:sz w:val="20"/>
          <w:szCs w:val="20"/>
          <w:lang w:val="es-ES_tradnl"/>
        </w:rPr>
        <w:t xml:space="preserve"> de 201</w:t>
      </w:r>
      <w:r w:rsidR="00D74892">
        <w:rPr>
          <w:rFonts w:ascii="Arial" w:hAnsi="Arial" w:cs="Arial"/>
          <w:sz w:val="20"/>
          <w:szCs w:val="20"/>
          <w:lang w:val="es-ES_tradnl"/>
        </w:rPr>
        <w:t>7</w:t>
      </w:r>
      <w:r w:rsidRPr="000E459C">
        <w:rPr>
          <w:rFonts w:ascii="Arial" w:hAnsi="Arial" w:cs="Arial"/>
          <w:sz w:val="20"/>
          <w:szCs w:val="20"/>
          <w:lang w:val="es-ES_tradnl"/>
        </w:rPr>
        <w:t xml:space="preserve"> con ingresos corrientes, de capital y de financiamiento (superávit) </w:t>
      </w:r>
      <w:r w:rsidRPr="000E459C">
        <w:rPr>
          <w:rFonts w:ascii="Arial" w:hAnsi="Arial" w:cs="Arial"/>
          <w:b/>
          <w:sz w:val="20"/>
          <w:szCs w:val="20"/>
          <w:u w:val="single"/>
          <w:lang w:val="es-ES_tradnl"/>
        </w:rPr>
        <w:t>(incluir recursos de crédito público en el espacio asignado para ese rubro)</w:t>
      </w:r>
      <w:r w:rsidR="00044EBB">
        <w:rPr>
          <w:rFonts w:ascii="Arial" w:hAnsi="Arial" w:cs="Arial"/>
          <w:b/>
          <w:sz w:val="20"/>
          <w:szCs w:val="20"/>
          <w:u w:val="single"/>
          <w:lang w:val="es-ES_tradnl"/>
        </w:rPr>
        <w:t>.</w:t>
      </w:r>
    </w:p>
    <w:p w:rsidR="007E6A6D" w:rsidRPr="0063725F" w:rsidRDefault="00B26A7A" w:rsidP="00B53E3E">
      <w:pPr>
        <w:spacing w:after="120" w:line="360" w:lineRule="auto"/>
        <w:jc w:val="both"/>
        <w:rPr>
          <w:rFonts w:ascii="Arial" w:hAnsi="Arial" w:cs="Arial"/>
          <w:sz w:val="20"/>
          <w:szCs w:val="20"/>
          <w:lang w:val="es-ES_tradnl"/>
        </w:rPr>
      </w:pPr>
      <w:r w:rsidRPr="000E459C">
        <w:rPr>
          <w:rFonts w:ascii="Arial" w:hAnsi="Arial" w:cs="Arial"/>
          <w:sz w:val="20"/>
          <w:szCs w:val="20"/>
          <w:lang w:val="es-ES_tradnl"/>
        </w:rPr>
        <w:t>L</w:t>
      </w:r>
      <w:r w:rsidR="007664ED" w:rsidRPr="000E459C">
        <w:rPr>
          <w:rFonts w:ascii="Arial" w:hAnsi="Arial" w:cs="Arial"/>
          <w:sz w:val="20"/>
          <w:szCs w:val="20"/>
          <w:lang w:val="es-ES_tradnl"/>
        </w:rPr>
        <w:t xml:space="preserve">os </w:t>
      </w:r>
      <w:r w:rsidR="007664ED" w:rsidRPr="00850E69">
        <w:rPr>
          <w:rFonts w:ascii="Arial" w:hAnsi="Arial" w:cs="Arial"/>
          <w:sz w:val="20"/>
          <w:szCs w:val="20"/>
          <w:lang w:val="es-ES_tradnl"/>
        </w:rPr>
        <w:t xml:space="preserve">ministerios </w:t>
      </w:r>
      <w:r w:rsidR="007664ED" w:rsidRPr="000E459C">
        <w:rPr>
          <w:rFonts w:ascii="Arial" w:hAnsi="Arial" w:cs="Arial"/>
          <w:sz w:val="20"/>
          <w:szCs w:val="20"/>
          <w:lang w:val="es-ES_tradnl"/>
        </w:rPr>
        <w:t xml:space="preserve">y el Tribunal Supremo de Elecciones, </w:t>
      </w:r>
      <w:r w:rsidRPr="000E459C">
        <w:rPr>
          <w:rFonts w:ascii="Arial" w:hAnsi="Arial" w:cs="Arial"/>
          <w:sz w:val="20"/>
          <w:szCs w:val="20"/>
          <w:lang w:val="es-ES_tradnl"/>
        </w:rPr>
        <w:t>deberá</w:t>
      </w:r>
      <w:r w:rsidR="006B6B79">
        <w:rPr>
          <w:rFonts w:ascii="Arial" w:hAnsi="Arial" w:cs="Arial"/>
          <w:sz w:val="20"/>
          <w:szCs w:val="20"/>
          <w:lang w:val="es-ES_tradnl"/>
        </w:rPr>
        <w:t>n</w:t>
      </w:r>
      <w:r w:rsidRPr="000E459C">
        <w:rPr>
          <w:rFonts w:ascii="Arial" w:hAnsi="Arial" w:cs="Arial"/>
          <w:sz w:val="20"/>
          <w:szCs w:val="20"/>
          <w:lang w:val="es-ES_tradnl"/>
        </w:rPr>
        <w:t xml:space="preserve"> utilizar como insumo  los datos d</w:t>
      </w:r>
      <w:r w:rsidR="007664ED" w:rsidRPr="000E459C">
        <w:rPr>
          <w:rFonts w:ascii="Arial" w:hAnsi="Arial" w:cs="Arial"/>
          <w:sz w:val="20"/>
          <w:szCs w:val="20"/>
          <w:lang w:val="es-ES_tradnl"/>
        </w:rPr>
        <w:t xml:space="preserve">el Presupuesto Actual y el Devengado del Informe </w:t>
      </w:r>
      <w:r w:rsidR="00F53033" w:rsidRPr="000E459C">
        <w:rPr>
          <w:rFonts w:ascii="Arial" w:hAnsi="Arial" w:cs="Arial"/>
          <w:sz w:val="20"/>
          <w:szCs w:val="20"/>
          <w:lang w:val="es-ES_tradnl"/>
        </w:rPr>
        <w:t>ZINFORME42_NEW</w:t>
      </w:r>
      <w:r w:rsidR="007664ED" w:rsidRPr="000E459C">
        <w:rPr>
          <w:rFonts w:ascii="Arial" w:hAnsi="Arial" w:cs="Arial"/>
          <w:sz w:val="20"/>
          <w:szCs w:val="20"/>
          <w:lang w:val="es-ES_tradnl"/>
        </w:rPr>
        <w:t xml:space="preserve"> del Sistema Integrado de Gestión de la Administración Financiera (SIGAF)</w:t>
      </w:r>
      <w:r w:rsidRPr="000E459C">
        <w:rPr>
          <w:rFonts w:ascii="Arial" w:hAnsi="Arial" w:cs="Arial"/>
          <w:sz w:val="20"/>
          <w:szCs w:val="20"/>
          <w:lang w:val="es-ES_tradnl"/>
        </w:rPr>
        <w:t>; en el caso de los otros</w:t>
      </w:r>
      <w:r w:rsidRPr="00945AC2">
        <w:rPr>
          <w:rFonts w:ascii="Arial" w:hAnsi="Arial" w:cs="Arial"/>
          <w:sz w:val="20"/>
          <w:szCs w:val="20"/>
          <w:lang w:val="es-ES_tradnl"/>
        </w:rPr>
        <w:t xml:space="preserve"> </w:t>
      </w:r>
      <w:r w:rsidRPr="00850E69">
        <w:rPr>
          <w:rFonts w:ascii="Arial" w:hAnsi="Arial" w:cs="Arial"/>
          <w:sz w:val="20"/>
          <w:szCs w:val="20"/>
          <w:lang w:val="es-ES_tradnl"/>
        </w:rPr>
        <w:t xml:space="preserve">poderes </w:t>
      </w:r>
      <w:r w:rsidRPr="00945AC2">
        <w:rPr>
          <w:rFonts w:ascii="Arial" w:hAnsi="Arial" w:cs="Arial"/>
          <w:sz w:val="20"/>
          <w:szCs w:val="20"/>
          <w:lang w:val="es-ES_tradnl"/>
        </w:rPr>
        <w:t>el</w:t>
      </w:r>
      <w:r w:rsidRPr="000E459C">
        <w:rPr>
          <w:rFonts w:ascii="Arial" w:hAnsi="Arial" w:cs="Arial"/>
          <w:sz w:val="20"/>
          <w:szCs w:val="20"/>
          <w:lang w:val="es-ES_tradnl"/>
        </w:rPr>
        <w:t xml:space="preserve"> insumo a utilizar es la Apropiación Actual y el Devengado del Sistema Módulo de Poderes</w:t>
      </w:r>
      <w:r w:rsidR="00945AC2">
        <w:rPr>
          <w:rFonts w:ascii="Arial" w:hAnsi="Arial" w:cs="Arial"/>
          <w:sz w:val="20"/>
          <w:szCs w:val="20"/>
          <w:lang w:val="es-ES_tradnl"/>
        </w:rPr>
        <w:t>.</w:t>
      </w:r>
    </w:p>
    <w:p w:rsidR="00B53E3E" w:rsidRPr="00863DCC" w:rsidRDefault="00863DCC" w:rsidP="00863DCC">
      <w:pPr>
        <w:spacing w:after="120" w:line="360" w:lineRule="auto"/>
        <w:jc w:val="both"/>
        <w:rPr>
          <w:rFonts w:ascii="Arial" w:hAnsi="Arial" w:cs="Arial"/>
          <w:b/>
          <w:sz w:val="20"/>
          <w:szCs w:val="20"/>
          <w:u w:val="single"/>
          <w:lang w:val="es-ES_tradnl"/>
        </w:rPr>
      </w:pPr>
      <w:r w:rsidRPr="00863DCC">
        <w:rPr>
          <w:rFonts w:ascii="Arial" w:hAnsi="Arial" w:cs="Arial"/>
          <w:b/>
          <w:sz w:val="20"/>
          <w:szCs w:val="20"/>
          <w:u w:val="single"/>
          <w:lang w:val="es-ES_tradnl"/>
        </w:rPr>
        <w:t xml:space="preserve">  </w:t>
      </w:r>
      <w:bookmarkStart w:id="3" w:name="_MON_1432967538"/>
      <w:bookmarkEnd w:id="3"/>
      <w:r w:rsidR="001236B5" w:rsidRPr="00863DCC">
        <w:rPr>
          <w:sz w:val="20"/>
          <w:szCs w:val="20"/>
          <w:lang w:val="es-ES_tradnl"/>
        </w:rPr>
        <w:object w:dxaOrig="7045" w:dyaOrig="4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5pt;height:169.15pt" o:ole="">
            <v:imagedata r:id="rId8" o:title=""/>
          </v:shape>
          <o:OLEObject Type="Embed" ProgID="Excel.Sheet.8" ShapeID="_x0000_i1025" DrawAspect="Content" ObjectID="_1578210051" r:id="rId9"/>
        </w:object>
      </w:r>
    </w:p>
    <w:p w:rsidR="00863DCC" w:rsidRPr="00863DCC" w:rsidRDefault="00863DCC" w:rsidP="00863DCC">
      <w:pPr>
        <w:spacing w:after="120" w:line="360" w:lineRule="auto"/>
        <w:ind w:left="720" w:hanging="720"/>
        <w:jc w:val="center"/>
        <w:rPr>
          <w:sz w:val="20"/>
          <w:szCs w:val="20"/>
          <w:lang w:val="es-ES_tradnl"/>
        </w:rPr>
      </w:pPr>
    </w:p>
    <w:bookmarkEnd w:id="0"/>
    <w:bookmarkEnd w:id="1"/>
    <w:bookmarkEnd w:id="2"/>
    <w:p w:rsidR="002718F6" w:rsidRPr="00E9277A" w:rsidRDefault="00987E89" w:rsidP="002718F6">
      <w:pPr>
        <w:pStyle w:val="Textoindependiente"/>
        <w:spacing w:line="360" w:lineRule="auto"/>
        <w:jc w:val="both"/>
        <w:outlineLvl w:val="0"/>
        <w:rPr>
          <w:rFonts w:ascii="Arial" w:hAnsi="Arial" w:cs="Arial"/>
          <w:b/>
          <w:bCs/>
          <w:sz w:val="20"/>
          <w:szCs w:val="20"/>
        </w:rPr>
      </w:pPr>
      <w:r w:rsidRPr="00E9277A">
        <w:rPr>
          <w:rFonts w:ascii="Arial" w:hAnsi="Arial" w:cs="Arial"/>
          <w:b/>
          <w:bCs/>
          <w:sz w:val="20"/>
          <w:szCs w:val="20"/>
        </w:rPr>
        <w:t>Con</w:t>
      </w:r>
      <w:r w:rsidR="002C3A5B" w:rsidRPr="00E9277A">
        <w:rPr>
          <w:rFonts w:ascii="Arial" w:hAnsi="Arial" w:cs="Arial"/>
          <w:b/>
          <w:bCs/>
          <w:sz w:val="20"/>
          <w:szCs w:val="20"/>
        </w:rPr>
        <w:t xml:space="preserve"> base en el cuadro anterior</w:t>
      </w:r>
      <w:r w:rsidR="00C86D0D" w:rsidRPr="00E9277A">
        <w:rPr>
          <w:rFonts w:ascii="Arial" w:hAnsi="Arial" w:cs="Arial"/>
          <w:b/>
          <w:bCs/>
          <w:sz w:val="20"/>
          <w:szCs w:val="20"/>
        </w:rPr>
        <w:t xml:space="preserve"> y sin considerar los recursos de crédito público</w:t>
      </w:r>
      <w:r w:rsidR="002C3A5B" w:rsidRPr="00E9277A">
        <w:rPr>
          <w:rFonts w:ascii="Arial" w:hAnsi="Arial" w:cs="Arial"/>
          <w:b/>
          <w:bCs/>
          <w:sz w:val="20"/>
          <w:szCs w:val="20"/>
        </w:rPr>
        <w:t xml:space="preserve">, </w:t>
      </w:r>
      <w:r w:rsidR="00C86D0D" w:rsidRPr="00E9277A">
        <w:rPr>
          <w:rFonts w:ascii="Arial" w:hAnsi="Arial" w:cs="Arial"/>
          <w:b/>
          <w:bCs/>
          <w:sz w:val="20"/>
          <w:szCs w:val="20"/>
        </w:rPr>
        <w:t xml:space="preserve">complete el siguiente cuadro </w:t>
      </w:r>
      <w:r w:rsidR="00981B1B" w:rsidRPr="00E9277A">
        <w:rPr>
          <w:rFonts w:ascii="Arial" w:hAnsi="Arial" w:cs="Arial"/>
          <w:b/>
          <w:bCs/>
          <w:sz w:val="20"/>
          <w:szCs w:val="20"/>
        </w:rPr>
        <w:t>con</w:t>
      </w:r>
      <w:r w:rsidR="001F5D95" w:rsidRPr="00E9277A">
        <w:rPr>
          <w:rFonts w:ascii="Arial" w:hAnsi="Arial" w:cs="Arial"/>
          <w:b/>
          <w:bCs/>
          <w:sz w:val="20"/>
          <w:szCs w:val="20"/>
        </w:rPr>
        <w:t xml:space="preserve"> las partidas que presenten un porcentaje de ejecución</w:t>
      </w:r>
      <w:r w:rsidR="009554CD" w:rsidRPr="00E9277A">
        <w:rPr>
          <w:rFonts w:ascii="Arial" w:hAnsi="Arial" w:cs="Arial"/>
          <w:b/>
          <w:bCs/>
          <w:sz w:val="20"/>
          <w:szCs w:val="20"/>
        </w:rPr>
        <w:t xml:space="preserve"> presupuestaria</w:t>
      </w:r>
      <w:r w:rsidR="001F5D95" w:rsidRPr="00E9277A">
        <w:rPr>
          <w:rFonts w:ascii="Arial" w:hAnsi="Arial" w:cs="Arial"/>
          <w:b/>
          <w:bCs/>
          <w:sz w:val="20"/>
          <w:szCs w:val="20"/>
        </w:rPr>
        <w:t xml:space="preserve"> </w:t>
      </w:r>
      <w:r w:rsidR="0059747B" w:rsidRPr="00E9277A">
        <w:rPr>
          <w:rFonts w:ascii="Arial" w:hAnsi="Arial" w:cs="Arial"/>
          <w:b/>
          <w:bCs/>
          <w:sz w:val="20"/>
          <w:szCs w:val="20"/>
        </w:rPr>
        <w:t xml:space="preserve">igual o </w:t>
      </w:r>
      <w:r w:rsidR="00C86D0D" w:rsidRPr="00E9277A">
        <w:rPr>
          <w:rFonts w:ascii="Arial" w:hAnsi="Arial" w:cs="Arial"/>
          <w:b/>
          <w:bCs/>
          <w:sz w:val="20"/>
          <w:szCs w:val="20"/>
        </w:rPr>
        <w:t xml:space="preserve">inferior al </w:t>
      </w:r>
      <w:r w:rsidR="0059006A" w:rsidRPr="00E9277A">
        <w:rPr>
          <w:rFonts w:ascii="Arial" w:hAnsi="Arial" w:cs="Arial"/>
          <w:b/>
          <w:bCs/>
          <w:sz w:val="20"/>
          <w:szCs w:val="20"/>
        </w:rPr>
        <w:t>90</w:t>
      </w:r>
      <w:r w:rsidR="00C86D0D" w:rsidRPr="00E9277A">
        <w:rPr>
          <w:rFonts w:ascii="Arial" w:hAnsi="Arial" w:cs="Arial"/>
          <w:b/>
          <w:bCs/>
          <w:sz w:val="20"/>
          <w:szCs w:val="20"/>
        </w:rPr>
        <w:t>%</w:t>
      </w:r>
      <w:r w:rsidR="00D62FF3" w:rsidRPr="00E9277A">
        <w:rPr>
          <w:rFonts w:ascii="Arial" w:hAnsi="Arial" w:cs="Arial"/>
          <w:b/>
          <w:bCs/>
          <w:sz w:val="20"/>
          <w:szCs w:val="20"/>
        </w:rPr>
        <w:t>:</w:t>
      </w:r>
      <w:bookmarkStart w:id="4" w:name="_GoBack"/>
      <w:bookmarkEnd w:id="4"/>
    </w:p>
    <w:p w:rsidR="001236B5" w:rsidRDefault="001236B5" w:rsidP="002718F6">
      <w:pPr>
        <w:pStyle w:val="Textoindependiente"/>
        <w:spacing w:line="360" w:lineRule="auto"/>
        <w:jc w:val="both"/>
        <w:outlineLvl w:val="0"/>
        <w:rPr>
          <w:rFonts w:ascii="Arial" w:hAnsi="Arial" w:cs="Arial"/>
          <w:bCs/>
          <w:sz w:val="20"/>
          <w:szCs w:val="20"/>
        </w:rPr>
      </w:pPr>
    </w:p>
    <w:bookmarkStart w:id="5" w:name="_MON_1522845997"/>
    <w:bookmarkEnd w:id="5"/>
    <w:p w:rsidR="001236B5" w:rsidRDefault="002B18BE" w:rsidP="002718F6">
      <w:pPr>
        <w:pStyle w:val="Textoindependiente"/>
        <w:spacing w:line="360" w:lineRule="auto"/>
        <w:jc w:val="both"/>
        <w:outlineLvl w:val="0"/>
        <w:rPr>
          <w:rFonts w:ascii="Arial" w:hAnsi="Arial" w:cs="Arial"/>
          <w:bCs/>
          <w:sz w:val="20"/>
          <w:szCs w:val="20"/>
        </w:rPr>
      </w:pPr>
      <w:r>
        <w:rPr>
          <w:rFonts w:ascii="Arial" w:hAnsi="Arial" w:cs="Arial"/>
          <w:bCs/>
          <w:sz w:val="20"/>
          <w:szCs w:val="20"/>
        </w:rPr>
        <w:object w:dxaOrig="10344" w:dyaOrig="12962">
          <v:shape id="_x0000_i1096" type="#_x0000_t75" style="width:494.5pt;height:629pt" o:ole="">
            <v:imagedata r:id="rId10" o:title=""/>
          </v:shape>
          <o:OLEObject Type="Embed" ProgID="Excel.Sheet.12" ShapeID="_x0000_i1096" DrawAspect="Content" ObjectID="_1578210052" r:id="rId11"/>
        </w:object>
      </w:r>
    </w:p>
    <w:bookmarkStart w:id="6" w:name="_MON_1577601283"/>
    <w:bookmarkEnd w:id="6"/>
    <w:p w:rsidR="001236B5" w:rsidRDefault="000D5A27" w:rsidP="002718F6">
      <w:pPr>
        <w:pStyle w:val="Textoindependiente"/>
        <w:spacing w:line="360" w:lineRule="auto"/>
        <w:jc w:val="both"/>
        <w:outlineLvl w:val="0"/>
        <w:rPr>
          <w:rFonts w:ascii="Arial" w:hAnsi="Arial" w:cs="Arial"/>
          <w:bCs/>
          <w:sz w:val="20"/>
          <w:szCs w:val="20"/>
        </w:rPr>
      </w:pPr>
      <w:r>
        <w:rPr>
          <w:rFonts w:ascii="Arial" w:hAnsi="Arial" w:cs="Arial"/>
          <w:bCs/>
          <w:sz w:val="20"/>
          <w:szCs w:val="20"/>
        </w:rPr>
        <w:object w:dxaOrig="9920" w:dyaOrig="12386">
          <v:shape id="_x0000_i1100" type="#_x0000_t75" style="width:473.45pt;height:601.15pt" o:ole="">
            <v:imagedata r:id="rId12" o:title=""/>
          </v:shape>
          <o:OLEObject Type="Embed" ProgID="Excel.Sheet.12" ShapeID="_x0000_i1100" DrawAspect="Content" ObjectID="_1578210053" r:id="rId13"/>
        </w:object>
      </w:r>
    </w:p>
    <w:p w:rsidR="001236B5" w:rsidRDefault="000B2356" w:rsidP="002718F6">
      <w:pPr>
        <w:pStyle w:val="Textoindependiente"/>
        <w:spacing w:line="360" w:lineRule="auto"/>
        <w:jc w:val="both"/>
        <w:outlineLvl w:val="0"/>
        <w:rPr>
          <w:rFonts w:ascii="Arial" w:hAnsi="Arial" w:cs="Arial"/>
          <w:bCs/>
          <w:sz w:val="20"/>
          <w:szCs w:val="20"/>
        </w:rPr>
      </w:pPr>
      <w:r>
        <w:rPr>
          <w:rFonts w:ascii="Arial" w:hAnsi="Arial" w:cs="Arial"/>
          <w:bCs/>
          <w:sz w:val="20"/>
          <w:szCs w:val="20"/>
        </w:rPr>
        <w:lastRenderedPageBreak/>
        <w:t>Dada la imposibilidad de espacio destinado en la columna del cuadro, para exponer los factores que afectaron la ejecución de las partidas, se detallan a continuación las respectivas notas:</w:t>
      </w:r>
    </w:p>
    <w:p w:rsidR="002B18BE" w:rsidRPr="00A8120C" w:rsidRDefault="002B18BE" w:rsidP="002B18BE">
      <w:pPr>
        <w:pStyle w:val="Textoindependiente"/>
        <w:spacing w:line="360" w:lineRule="auto"/>
        <w:outlineLvl w:val="0"/>
        <w:rPr>
          <w:rFonts w:ascii="Arial" w:hAnsi="Arial" w:cs="Arial"/>
          <w:b/>
          <w:bCs/>
          <w:sz w:val="20"/>
          <w:szCs w:val="20"/>
        </w:rPr>
      </w:pPr>
      <w:r w:rsidRPr="00A8120C">
        <w:rPr>
          <w:rFonts w:ascii="Arial" w:hAnsi="Arial" w:cs="Arial"/>
          <w:b/>
          <w:bCs/>
          <w:sz w:val="20"/>
          <w:szCs w:val="20"/>
        </w:rPr>
        <w:t>Nota 1</w:t>
      </w:r>
    </w:p>
    <w:p w:rsidR="002B18BE" w:rsidRDefault="002B18BE" w:rsidP="002B18BE">
      <w:pPr>
        <w:pStyle w:val="Textoindependiente"/>
        <w:spacing w:line="276" w:lineRule="auto"/>
        <w:jc w:val="both"/>
        <w:outlineLvl w:val="0"/>
        <w:rPr>
          <w:rFonts w:ascii="Arial" w:hAnsi="Arial" w:cs="Arial"/>
          <w:bCs/>
          <w:sz w:val="20"/>
          <w:szCs w:val="20"/>
        </w:rPr>
      </w:pPr>
      <w:r w:rsidRPr="00A8120C">
        <w:rPr>
          <w:rFonts w:ascii="Arial" w:hAnsi="Arial" w:cs="Arial"/>
          <w:bCs/>
          <w:sz w:val="20"/>
          <w:szCs w:val="20"/>
        </w:rPr>
        <w:t xml:space="preserve">Entre los factores que </w:t>
      </w:r>
      <w:r>
        <w:rPr>
          <w:rFonts w:ascii="Arial" w:hAnsi="Arial" w:cs="Arial"/>
          <w:bCs/>
          <w:sz w:val="20"/>
          <w:szCs w:val="20"/>
        </w:rPr>
        <w:t>afectaron</w:t>
      </w:r>
      <w:r w:rsidRPr="00A8120C">
        <w:rPr>
          <w:rFonts w:ascii="Arial" w:hAnsi="Arial" w:cs="Arial"/>
          <w:bCs/>
          <w:sz w:val="20"/>
          <w:szCs w:val="20"/>
        </w:rPr>
        <w:t xml:space="preserve"> la ejecución de lo devengado </w:t>
      </w:r>
      <w:r>
        <w:rPr>
          <w:rFonts w:ascii="Arial" w:hAnsi="Arial" w:cs="Arial"/>
          <w:bCs/>
          <w:sz w:val="20"/>
          <w:szCs w:val="20"/>
        </w:rPr>
        <w:t>para el periodo 2017</w:t>
      </w:r>
      <w:r w:rsidRPr="00A8120C">
        <w:rPr>
          <w:rFonts w:ascii="Arial" w:hAnsi="Arial" w:cs="Arial"/>
          <w:bCs/>
          <w:sz w:val="20"/>
          <w:szCs w:val="20"/>
        </w:rPr>
        <w:t>, están los siguientes:</w:t>
      </w:r>
    </w:p>
    <w:p w:rsidR="002B18BE" w:rsidRPr="008D118B" w:rsidRDefault="002B18BE" w:rsidP="00942F49">
      <w:pPr>
        <w:pStyle w:val="Textoindependiente"/>
        <w:numPr>
          <w:ilvl w:val="0"/>
          <w:numId w:val="6"/>
        </w:numPr>
        <w:spacing w:line="276" w:lineRule="auto"/>
        <w:jc w:val="both"/>
        <w:outlineLvl w:val="0"/>
        <w:rPr>
          <w:rFonts w:ascii="Arial" w:hAnsi="Arial" w:cs="Arial"/>
          <w:bCs/>
          <w:sz w:val="20"/>
          <w:szCs w:val="20"/>
        </w:rPr>
      </w:pPr>
      <w:r w:rsidRPr="008D118B">
        <w:rPr>
          <w:rFonts w:ascii="Arial" w:hAnsi="Arial" w:cs="Arial"/>
          <w:bCs/>
          <w:sz w:val="20"/>
          <w:szCs w:val="20"/>
        </w:rPr>
        <w:t>Atraso en la presentación de facturas de cobro de los servicios públicos</w:t>
      </w:r>
    </w:p>
    <w:p w:rsidR="002B18BE" w:rsidRPr="008D118B" w:rsidRDefault="002B18BE" w:rsidP="00942F49">
      <w:pPr>
        <w:pStyle w:val="Textoindependiente"/>
        <w:numPr>
          <w:ilvl w:val="0"/>
          <w:numId w:val="6"/>
        </w:numPr>
        <w:spacing w:line="276" w:lineRule="auto"/>
        <w:jc w:val="both"/>
        <w:outlineLvl w:val="0"/>
        <w:rPr>
          <w:rFonts w:ascii="Arial" w:hAnsi="Arial" w:cs="Arial"/>
          <w:bCs/>
          <w:sz w:val="20"/>
          <w:szCs w:val="20"/>
        </w:rPr>
      </w:pPr>
      <w:r>
        <w:rPr>
          <w:rFonts w:ascii="Arial" w:hAnsi="Arial" w:cs="Arial"/>
          <w:bCs/>
          <w:sz w:val="20"/>
          <w:szCs w:val="20"/>
        </w:rPr>
        <w:t>Ajuste en el valor de los vehículos que forman parte de la flotilla vehicular de la Institución, lo que provoco que el cobro de la póliza correspondiente al segundo semestre disminuyera ¢4.5 millones</w:t>
      </w:r>
      <w:r w:rsidRPr="008D118B">
        <w:rPr>
          <w:rFonts w:ascii="Arial" w:hAnsi="Arial" w:cs="Arial"/>
          <w:bCs/>
          <w:sz w:val="20"/>
          <w:szCs w:val="20"/>
        </w:rPr>
        <w:t xml:space="preserve"> </w:t>
      </w:r>
    </w:p>
    <w:p w:rsidR="002B18BE" w:rsidRDefault="002B18BE" w:rsidP="00942F49">
      <w:pPr>
        <w:pStyle w:val="Textoindependiente"/>
        <w:numPr>
          <w:ilvl w:val="0"/>
          <w:numId w:val="6"/>
        </w:numPr>
        <w:spacing w:line="276" w:lineRule="auto"/>
        <w:jc w:val="both"/>
        <w:outlineLvl w:val="0"/>
        <w:rPr>
          <w:rFonts w:ascii="Arial" w:hAnsi="Arial" w:cs="Arial"/>
          <w:bCs/>
          <w:sz w:val="20"/>
          <w:szCs w:val="20"/>
        </w:rPr>
      </w:pPr>
      <w:r w:rsidRPr="008D118B">
        <w:rPr>
          <w:rFonts w:ascii="Arial" w:hAnsi="Arial" w:cs="Arial"/>
          <w:bCs/>
          <w:sz w:val="20"/>
          <w:szCs w:val="20"/>
        </w:rPr>
        <w:t xml:space="preserve">No están considerados los gastos por concepto de viáticos correspondientes al mes de </w:t>
      </w:r>
      <w:r>
        <w:rPr>
          <w:rFonts w:ascii="Arial" w:hAnsi="Arial" w:cs="Arial"/>
          <w:bCs/>
          <w:sz w:val="20"/>
          <w:szCs w:val="20"/>
        </w:rPr>
        <w:t>diciembre</w:t>
      </w:r>
      <w:r w:rsidRPr="008D118B">
        <w:rPr>
          <w:rFonts w:ascii="Arial" w:hAnsi="Arial" w:cs="Arial"/>
          <w:bCs/>
          <w:sz w:val="20"/>
          <w:szCs w:val="20"/>
        </w:rPr>
        <w:t xml:space="preserve"> lo cual suma aproximadamente ¢</w:t>
      </w:r>
      <w:r>
        <w:rPr>
          <w:rFonts w:ascii="Arial" w:hAnsi="Arial" w:cs="Arial"/>
          <w:bCs/>
          <w:sz w:val="20"/>
          <w:szCs w:val="20"/>
        </w:rPr>
        <w:t xml:space="preserve">2 </w:t>
      </w:r>
      <w:r w:rsidRPr="008D118B">
        <w:rPr>
          <w:rFonts w:ascii="Arial" w:hAnsi="Arial" w:cs="Arial"/>
          <w:bCs/>
          <w:sz w:val="20"/>
          <w:szCs w:val="20"/>
        </w:rPr>
        <w:t>millones</w:t>
      </w:r>
    </w:p>
    <w:p w:rsidR="002B18BE" w:rsidRDefault="002B18BE" w:rsidP="00942F49">
      <w:pPr>
        <w:pStyle w:val="Textoindependiente"/>
        <w:numPr>
          <w:ilvl w:val="0"/>
          <w:numId w:val="6"/>
        </w:numPr>
        <w:spacing w:line="276" w:lineRule="auto"/>
        <w:jc w:val="both"/>
        <w:outlineLvl w:val="0"/>
        <w:rPr>
          <w:rFonts w:ascii="Arial" w:hAnsi="Arial" w:cs="Arial"/>
          <w:bCs/>
          <w:sz w:val="20"/>
          <w:szCs w:val="20"/>
        </w:rPr>
      </w:pPr>
      <w:r>
        <w:rPr>
          <w:rFonts w:ascii="Arial" w:hAnsi="Arial" w:cs="Arial"/>
          <w:bCs/>
          <w:sz w:val="20"/>
          <w:szCs w:val="20"/>
        </w:rPr>
        <w:t xml:space="preserve">Se da inicio </w:t>
      </w:r>
      <w:r w:rsidRPr="00766800">
        <w:rPr>
          <w:rFonts w:ascii="Arial" w:hAnsi="Arial" w:cs="Arial"/>
          <w:bCs/>
          <w:sz w:val="20"/>
          <w:szCs w:val="20"/>
        </w:rPr>
        <w:t>en el mes de marzo del 2017, la Licitación Pública 2017LN-000002-0009000001, correspondiente al Alquiler de Solución Competa de Equipos de Impresión Multifuncional (HARDWARE Y SOFTWARE), por un monto de ¢40.280.68332. Este trámite finalizó en el mes de diciembre del 2017, siendo que el plazo de entrega vence el 25 de enero del 2018, por lo que el monto reservado para este trámite no fue utilizado.</w:t>
      </w:r>
    </w:p>
    <w:p w:rsidR="002B18BE" w:rsidRDefault="002B18BE" w:rsidP="00942F49">
      <w:pPr>
        <w:pStyle w:val="Textoindependiente"/>
        <w:numPr>
          <w:ilvl w:val="0"/>
          <w:numId w:val="6"/>
        </w:numPr>
        <w:spacing w:line="276" w:lineRule="auto"/>
        <w:jc w:val="both"/>
        <w:outlineLvl w:val="0"/>
        <w:rPr>
          <w:rFonts w:ascii="Arial" w:hAnsi="Arial" w:cs="Arial"/>
          <w:bCs/>
          <w:sz w:val="20"/>
          <w:szCs w:val="20"/>
        </w:rPr>
      </w:pPr>
      <w:r>
        <w:rPr>
          <w:rFonts w:ascii="Arial" w:hAnsi="Arial" w:cs="Arial"/>
          <w:bCs/>
          <w:sz w:val="20"/>
          <w:szCs w:val="20"/>
        </w:rPr>
        <w:t>Ligado al punto anterior esta, la no contratación relacionada al mantenimiento de equipo de cómputo específicamente al equipo de impresión por ¢2.500.000.00, debido precisamente a la contratación en trámite del equipo de impresión.</w:t>
      </w:r>
    </w:p>
    <w:p w:rsidR="002B18BE" w:rsidRPr="00766800" w:rsidRDefault="002B18BE" w:rsidP="00942F49">
      <w:pPr>
        <w:pStyle w:val="Textoindependiente"/>
        <w:numPr>
          <w:ilvl w:val="0"/>
          <w:numId w:val="6"/>
        </w:numPr>
        <w:spacing w:line="276" w:lineRule="auto"/>
        <w:jc w:val="both"/>
        <w:outlineLvl w:val="0"/>
        <w:rPr>
          <w:rFonts w:ascii="Arial" w:hAnsi="Arial" w:cs="Arial"/>
          <w:bCs/>
          <w:sz w:val="20"/>
          <w:szCs w:val="20"/>
        </w:rPr>
      </w:pPr>
      <w:r w:rsidRPr="00766800">
        <w:rPr>
          <w:rFonts w:ascii="Arial" w:hAnsi="Arial" w:cs="Arial"/>
          <w:bCs/>
          <w:sz w:val="20"/>
          <w:szCs w:val="20"/>
        </w:rPr>
        <w:t>El no pago de los incrementos</w:t>
      </w:r>
      <w:r>
        <w:rPr>
          <w:rFonts w:ascii="Arial" w:hAnsi="Arial" w:cs="Arial"/>
          <w:bCs/>
          <w:sz w:val="20"/>
          <w:szCs w:val="20"/>
        </w:rPr>
        <w:t xml:space="preserve"> proyectados</w:t>
      </w:r>
      <w:r w:rsidRPr="00766800">
        <w:rPr>
          <w:rFonts w:ascii="Arial" w:hAnsi="Arial" w:cs="Arial"/>
          <w:bCs/>
          <w:sz w:val="20"/>
          <w:szCs w:val="20"/>
        </w:rPr>
        <w:t xml:space="preserve">, según lo estipulado en los contratos de arrendamiento de las diferentes oficinas institucionales, debido a que el IPC </w:t>
      </w:r>
      <w:r>
        <w:rPr>
          <w:rFonts w:ascii="Arial" w:hAnsi="Arial" w:cs="Arial"/>
          <w:bCs/>
          <w:sz w:val="20"/>
          <w:szCs w:val="20"/>
        </w:rPr>
        <w:t>fue menor al estimado</w:t>
      </w:r>
      <w:r w:rsidRPr="00766800">
        <w:rPr>
          <w:rFonts w:ascii="Arial" w:hAnsi="Arial" w:cs="Arial"/>
          <w:bCs/>
          <w:sz w:val="20"/>
          <w:szCs w:val="20"/>
        </w:rPr>
        <w:t>, generó un remanente por concepto de alquileres.</w:t>
      </w:r>
    </w:p>
    <w:p w:rsidR="002B18BE" w:rsidRDefault="002B18BE" w:rsidP="00942F49">
      <w:pPr>
        <w:pStyle w:val="Textoindependiente"/>
        <w:numPr>
          <w:ilvl w:val="0"/>
          <w:numId w:val="6"/>
        </w:numPr>
        <w:spacing w:line="276" w:lineRule="auto"/>
        <w:jc w:val="both"/>
        <w:outlineLvl w:val="0"/>
        <w:rPr>
          <w:rFonts w:ascii="Arial" w:hAnsi="Arial" w:cs="Arial"/>
          <w:bCs/>
          <w:sz w:val="20"/>
          <w:szCs w:val="20"/>
        </w:rPr>
      </w:pPr>
      <w:r w:rsidRPr="006F66AA">
        <w:rPr>
          <w:rFonts w:ascii="Arial" w:hAnsi="Arial" w:cs="Arial"/>
          <w:bCs/>
          <w:sz w:val="20"/>
          <w:szCs w:val="20"/>
        </w:rPr>
        <w:t>Los remanentes producto de contrataciones administrativas en las cuales las ofertas presentadas para las adjudicaciones fueron menores a las presentadas para el estudio de mercado (indispensable de llevar a cabo previo al inicio de la gestión), incidieron igualmente en varias sub partidas</w:t>
      </w:r>
      <w:r>
        <w:rPr>
          <w:rFonts w:ascii="Arial" w:hAnsi="Arial" w:cs="Arial"/>
          <w:bCs/>
          <w:sz w:val="20"/>
          <w:szCs w:val="20"/>
        </w:rPr>
        <w:t>.</w:t>
      </w:r>
    </w:p>
    <w:p w:rsidR="002B18BE" w:rsidRPr="006F66AA" w:rsidRDefault="002B18BE" w:rsidP="00942F49">
      <w:pPr>
        <w:pStyle w:val="Prrafodelista"/>
        <w:numPr>
          <w:ilvl w:val="0"/>
          <w:numId w:val="6"/>
        </w:numPr>
        <w:spacing w:line="276" w:lineRule="auto"/>
        <w:jc w:val="both"/>
        <w:rPr>
          <w:rFonts w:ascii="Arial" w:hAnsi="Arial" w:cs="Arial"/>
          <w:bCs/>
          <w:sz w:val="20"/>
          <w:szCs w:val="20"/>
        </w:rPr>
      </w:pPr>
      <w:r w:rsidRPr="006F66AA">
        <w:rPr>
          <w:rFonts w:ascii="Arial" w:hAnsi="Arial" w:cs="Arial"/>
          <w:bCs/>
          <w:sz w:val="20"/>
          <w:szCs w:val="20"/>
        </w:rPr>
        <w:t xml:space="preserve">Las previsiones presupuestarias para sub partidas que bien pueden ser utilizadas por cuestiones imprevisibles como 1.03.04 Transporte de bienes, 1.99.05 Deducibles </w:t>
      </w:r>
      <w:r>
        <w:rPr>
          <w:rFonts w:ascii="Arial" w:hAnsi="Arial" w:cs="Arial"/>
          <w:bCs/>
          <w:sz w:val="20"/>
          <w:szCs w:val="20"/>
        </w:rPr>
        <w:t>u otras</w:t>
      </w:r>
      <w:r w:rsidRPr="006F66AA">
        <w:rPr>
          <w:rFonts w:ascii="Arial" w:hAnsi="Arial" w:cs="Arial"/>
          <w:bCs/>
          <w:sz w:val="20"/>
          <w:szCs w:val="20"/>
        </w:rPr>
        <w:t xml:space="preserve">, no permiten un amplio margen de maniobra para su total ejecución, toda vez que su utilización en muchas ocasiones se deriva precisamente de la imprevisibilidad. </w:t>
      </w:r>
    </w:p>
    <w:p w:rsidR="002B18BE" w:rsidRDefault="002B18BE" w:rsidP="002B18BE">
      <w:pPr>
        <w:pStyle w:val="Textoindependiente"/>
        <w:spacing w:line="360" w:lineRule="auto"/>
        <w:outlineLvl w:val="0"/>
        <w:rPr>
          <w:rFonts w:ascii="Arial" w:hAnsi="Arial" w:cs="Arial"/>
          <w:b/>
          <w:bCs/>
          <w:sz w:val="20"/>
          <w:szCs w:val="20"/>
        </w:rPr>
      </w:pPr>
    </w:p>
    <w:p w:rsidR="002B18BE" w:rsidRPr="00F04FBB" w:rsidRDefault="002B18BE" w:rsidP="002B18BE">
      <w:pPr>
        <w:pStyle w:val="Textoindependiente"/>
        <w:spacing w:line="360" w:lineRule="auto"/>
        <w:outlineLvl w:val="0"/>
        <w:rPr>
          <w:rFonts w:ascii="Arial" w:hAnsi="Arial" w:cs="Arial"/>
          <w:b/>
          <w:bCs/>
          <w:sz w:val="20"/>
          <w:szCs w:val="20"/>
        </w:rPr>
      </w:pPr>
      <w:r w:rsidRPr="00F04FBB">
        <w:rPr>
          <w:rFonts w:ascii="Arial" w:hAnsi="Arial" w:cs="Arial"/>
          <w:b/>
          <w:bCs/>
          <w:sz w:val="20"/>
          <w:szCs w:val="20"/>
        </w:rPr>
        <w:t>Nota 2</w:t>
      </w:r>
    </w:p>
    <w:p w:rsidR="002B18BE" w:rsidRDefault="002B18BE" w:rsidP="002B18BE">
      <w:pPr>
        <w:pStyle w:val="Textoindependiente"/>
        <w:spacing w:line="276" w:lineRule="auto"/>
        <w:jc w:val="both"/>
        <w:outlineLvl w:val="0"/>
        <w:rPr>
          <w:rFonts w:ascii="Arial" w:hAnsi="Arial" w:cs="Arial"/>
          <w:bCs/>
          <w:sz w:val="20"/>
          <w:szCs w:val="20"/>
        </w:rPr>
      </w:pPr>
      <w:r w:rsidRPr="00A8120C">
        <w:rPr>
          <w:rFonts w:ascii="Arial" w:hAnsi="Arial" w:cs="Arial"/>
          <w:bCs/>
          <w:sz w:val="20"/>
          <w:szCs w:val="20"/>
        </w:rPr>
        <w:t xml:space="preserve">Entre los factores que </w:t>
      </w:r>
      <w:r>
        <w:rPr>
          <w:rFonts w:ascii="Arial" w:hAnsi="Arial" w:cs="Arial"/>
          <w:bCs/>
          <w:sz w:val="20"/>
          <w:szCs w:val="20"/>
        </w:rPr>
        <w:t>afectaron</w:t>
      </w:r>
      <w:r w:rsidRPr="00A8120C">
        <w:rPr>
          <w:rFonts w:ascii="Arial" w:hAnsi="Arial" w:cs="Arial"/>
          <w:bCs/>
          <w:sz w:val="20"/>
          <w:szCs w:val="20"/>
        </w:rPr>
        <w:t xml:space="preserve"> la ejecución de lo devengado </w:t>
      </w:r>
      <w:r>
        <w:rPr>
          <w:rFonts w:ascii="Arial" w:hAnsi="Arial" w:cs="Arial"/>
          <w:bCs/>
          <w:sz w:val="20"/>
          <w:szCs w:val="20"/>
        </w:rPr>
        <w:t>para el periodo 2017</w:t>
      </w:r>
      <w:r w:rsidRPr="00A8120C">
        <w:rPr>
          <w:rFonts w:ascii="Arial" w:hAnsi="Arial" w:cs="Arial"/>
          <w:bCs/>
          <w:sz w:val="20"/>
          <w:szCs w:val="20"/>
        </w:rPr>
        <w:t>, están los siguientes:</w:t>
      </w:r>
    </w:p>
    <w:p w:rsidR="002B18BE" w:rsidRDefault="002B18BE" w:rsidP="00942F49">
      <w:pPr>
        <w:pStyle w:val="Textoindependiente"/>
        <w:numPr>
          <w:ilvl w:val="0"/>
          <w:numId w:val="7"/>
        </w:numPr>
        <w:spacing w:line="276" w:lineRule="auto"/>
        <w:jc w:val="both"/>
        <w:outlineLvl w:val="0"/>
        <w:rPr>
          <w:rFonts w:ascii="Arial" w:hAnsi="Arial" w:cs="Arial"/>
          <w:bCs/>
          <w:sz w:val="20"/>
          <w:szCs w:val="20"/>
        </w:rPr>
      </w:pPr>
      <w:r>
        <w:rPr>
          <w:rFonts w:ascii="Arial" w:hAnsi="Arial" w:cs="Arial"/>
          <w:bCs/>
          <w:sz w:val="20"/>
          <w:szCs w:val="20"/>
        </w:rPr>
        <w:t>L</w:t>
      </w:r>
      <w:r w:rsidRPr="00F04FBB">
        <w:rPr>
          <w:rFonts w:ascii="Arial" w:hAnsi="Arial" w:cs="Arial"/>
          <w:bCs/>
          <w:sz w:val="20"/>
          <w:szCs w:val="20"/>
        </w:rPr>
        <w:t>a compra de productos y materiales de oficina fue detenida por la Dirección Nacional, mediante oficio N° DND-892-1, en aras de dar efectivo cumplimiento al Decreto de Contingencia Fiscal N° 40540-H.</w:t>
      </w:r>
    </w:p>
    <w:p w:rsidR="002B18BE" w:rsidRDefault="002B18BE" w:rsidP="00942F49">
      <w:pPr>
        <w:pStyle w:val="Textoindependiente"/>
        <w:numPr>
          <w:ilvl w:val="0"/>
          <w:numId w:val="7"/>
        </w:numPr>
        <w:spacing w:line="276" w:lineRule="auto"/>
        <w:jc w:val="both"/>
        <w:outlineLvl w:val="0"/>
        <w:rPr>
          <w:rFonts w:ascii="Arial" w:hAnsi="Arial" w:cs="Arial"/>
          <w:bCs/>
          <w:sz w:val="20"/>
          <w:szCs w:val="20"/>
        </w:rPr>
      </w:pPr>
      <w:r>
        <w:rPr>
          <w:rFonts w:ascii="Arial" w:hAnsi="Arial" w:cs="Arial"/>
          <w:bCs/>
          <w:sz w:val="20"/>
          <w:szCs w:val="20"/>
        </w:rPr>
        <w:lastRenderedPageBreak/>
        <w:t>R</w:t>
      </w:r>
      <w:r w:rsidRPr="00F04FBB">
        <w:rPr>
          <w:rFonts w:ascii="Arial" w:hAnsi="Arial" w:cs="Arial"/>
          <w:bCs/>
          <w:sz w:val="20"/>
          <w:szCs w:val="20"/>
        </w:rPr>
        <w:t>emanentes en las compras de productos de papel como resmas de papel bond, folders, papel higiénico, servilletas, toallas de cocina, entre otros, correspondientes a los tramites de contratación N° 2017CD-000003-04900 y 2017CD-000038-0009000001. Igualmente, no se efectuó la adquisición de suscripción de periódicos anual, ya que fue detenida por la Dirección Nacional, mediante oficio N° DND-892-1, en aras de dar efectivo cumplimiento al Decreto de Contingencia Fiscal N° 40540-H.</w:t>
      </w:r>
    </w:p>
    <w:p w:rsidR="002B18BE" w:rsidRDefault="002B18BE" w:rsidP="00942F49">
      <w:pPr>
        <w:pStyle w:val="Textoindependiente"/>
        <w:numPr>
          <w:ilvl w:val="0"/>
          <w:numId w:val="7"/>
        </w:numPr>
        <w:spacing w:line="276" w:lineRule="auto"/>
        <w:jc w:val="both"/>
        <w:outlineLvl w:val="0"/>
        <w:rPr>
          <w:rFonts w:ascii="Arial" w:hAnsi="Arial" w:cs="Arial"/>
          <w:bCs/>
          <w:sz w:val="20"/>
          <w:szCs w:val="20"/>
        </w:rPr>
      </w:pPr>
      <w:r>
        <w:rPr>
          <w:rFonts w:ascii="Arial" w:hAnsi="Arial" w:cs="Arial"/>
          <w:bCs/>
          <w:sz w:val="20"/>
          <w:szCs w:val="20"/>
        </w:rPr>
        <w:t>La</w:t>
      </w:r>
      <w:r w:rsidRPr="00F04FBB">
        <w:rPr>
          <w:rFonts w:ascii="Arial" w:hAnsi="Arial" w:cs="Arial"/>
          <w:bCs/>
          <w:sz w:val="20"/>
          <w:szCs w:val="20"/>
        </w:rPr>
        <w:t xml:space="preserve"> compra de zapatos para los choferes, conserjes y oficiales de seguridad, la cual fue detenida por la Dirección Nacional, mediante oficio N° DND-892-1, en aras de dar efectivo cumplimiento al Decreto de Contingencia Fiscal N° 40540-H.</w:t>
      </w:r>
    </w:p>
    <w:p w:rsidR="002B18BE" w:rsidRDefault="002B18BE" w:rsidP="00942F49">
      <w:pPr>
        <w:pStyle w:val="Textoindependiente"/>
        <w:numPr>
          <w:ilvl w:val="0"/>
          <w:numId w:val="7"/>
        </w:numPr>
        <w:spacing w:line="276" w:lineRule="auto"/>
        <w:jc w:val="both"/>
        <w:outlineLvl w:val="0"/>
        <w:rPr>
          <w:rFonts w:ascii="Arial" w:hAnsi="Arial" w:cs="Arial"/>
          <w:bCs/>
          <w:sz w:val="20"/>
          <w:szCs w:val="20"/>
        </w:rPr>
      </w:pPr>
      <w:r>
        <w:rPr>
          <w:rFonts w:ascii="Arial" w:hAnsi="Arial" w:cs="Arial"/>
          <w:bCs/>
          <w:sz w:val="20"/>
          <w:szCs w:val="20"/>
        </w:rPr>
        <w:t>Debido a la gestión de la contratación del equipo de impresión mediante la</w:t>
      </w:r>
      <w:r w:rsidRPr="00766800">
        <w:rPr>
          <w:rFonts w:ascii="Arial" w:hAnsi="Arial" w:cs="Arial"/>
          <w:bCs/>
          <w:sz w:val="20"/>
          <w:szCs w:val="20"/>
        </w:rPr>
        <w:t xml:space="preserve"> Licitación Pública 2017LN-000002-0009000001</w:t>
      </w:r>
      <w:r>
        <w:rPr>
          <w:rFonts w:ascii="Arial" w:hAnsi="Arial" w:cs="Arial"/>
          <w:bCs/>
          <w:sz w:val="20"/>
          <w:szCs w:val="20"/>
        </w:rPr>
        <w:t xml:space="preserve">, la instancia técnica como es el Departamento de Informática, tomo la decisión de no realizar la compra de gran cantidad de tóner, debido a que en la contratación en cuestión incluía el abastecimiento de tóner para las impresoras. </w:t>
      </w:r>
    </w:p>
    <w:p w:rsidR="002B18BE" w:rsidRDefault="002B18BE" w:rsidP="00942F49">
      <w:pPr>
        <w:pStyle w:val="Textoindependiente"/>
        <w:numPr>
          <w:ilvl w:val="0"/>
          <w:numId w:val="7"/>
        </w:numPr>
        <w:spacing w:line="276" w:lineRule="auto"/>
        <w:jc w:val="both"/>
        <w:outlineLvl w:val="0"/>
        <w:rPr>
          <w:rFonts w:ascii="Arial" w:hAnsi="Arial" w:cs="Arial"/>
          <w:bCs/>
          <w:sz w:val="20"/>
          <w:szCs w:val="20"/>
        </w:rPr>
      </w:pPr>
      <w:r>
        <w:rPr>
          <w:rFonts w:ascii="Arial" w:hAnsi="Arial" w:cs="Arial"/>
          <w:bCs/>
          <w:sz w:val="20"/>
          <w:szCs w:val="20"/>
        </w:rPr>
        <w:t xml:space="preserve">Los remanentes de varias de las sub partidas se dieron como producto de las contrataciones realizadas. </w:t>
      </w:r>
    </w:p>
    <w:p w:rsidR="002B18BE" w:rsidRPr="00F04FBB" w:rsidRDefault="002B18BE" w:rsidP="002B18BE">
      <w:pPr>
        <w:pStyle w:val="Textoindependiente"/>
        <w:spacing w:line="360" w:lineRule="auto"/>
        <w:outlineLvl w:val="0"/>
        <w:rPr>
          <w:rFonts w:ascii="Arial" w:hAnsi="Arial" w:cs="Arial"/>
          <w:b/>
          <w:bCs/>
          <w:sz w:val="20"/>
          <w:szCs w:val="20"/>
        </w:rPr>
      </w:pPr>
      <w:r w:rsidRPr="00F04FBB">
        <w:rPr>
          <w:rFonts w:ascii="Arial" w:hAnsi="Arial" w:cs="Arial"/>
          <w:b/>
          <w:bCs/>
          <w:sz w:val="20"/>
          <w:szCs w:val="20"/>
        </w:rPr>
        <w:t xml:space="preserve">Nota </w:t>
      </w:r>
      <w:r>
        <w:rPr>
          <w:rFonts w:ascii="Arial" w:hAnsi="Arial" w:cs="Arial"/>
          <w:b/>
          <w:bCs/>
          <w:sz w:val="20"/>
          <w:szCs w:val="20"/>
        </w:rPr>
        <w:t>3</w:t>
      </w:r>
    </w:p>
    <w:p w:rsidR="002B18BE" w:rsidRDefault="002B18BE" w:rsidP="002B18BE">
      <w:pPr>
        <w:pStyle w:val="Textoindependiente"/>
        <w:spacing w:line="276" w:lineRule="auto"/>
        <w:jc w:val="both"/>
        <w:outlineLvl w:val="0"/>
        <w:rPr>
          <w:rFonts w:ascii="Arial" w:hAnsi="Arial" w:cs="Arial"/>
          <w:bCs/>
          <w:sz w:val="20"/>
          <w:szCs w:val="20"/>
        </w:rPr>
      </w:pPr>
      <w:r w:rsidRPr="00A8120C">
        <w:rPr>
          <w:rFonts w:ascii="Arial" w:hAnsi="Arial" w:cs="Arial"/>
          <w:bCs/>
          <w:sz w:val="20"/>
          <w:szCs w:val="20"/>
        </w:rPr>
        <w:t xml:space="preserve">Entre los factores que </w:t>
      </w:r>
      <w:r>
        <w:rPr>
          <w:rFonts w:ascii="Arial" w:hAnsi="Arial" w:cs="Arial"/>
          <w:bCs/>
          <w:sz w:val="20"/>
          <w:szCs w:val="20"/>
        </w:rPr>
        <w:t>afectaron</w:t>
      </w:r>
      <w:r w:rsidRPr="00A8120C">
        <w:rPr>
          <w:rFonts w:ascii="Arial" w:hAnsi="Arial" w:cs="Arial"/>
          <w:bCs/>
          <w:sz w:val="20"/>
          <w:szCs w:val="20"/>
        </w:rPr>
        <w:t xml:space="preserve"> la ejecución de lo devengado </w:t>
      </w:r>
      <w:r>
        <w:rPr>
          <w:rFonts w:ascii="Arial" w:hAnsi="Arial" w:cs="Arial"/>
          <w:bCs/>
          <w:sz w:val="20"/>
          <w:szCs w:val="20"/>
        </w:rPr>
        <w:t>para el periodo 2017</w:t>
      </w:r>
      <w:r w:rsidRPr="00A8120C">
        <w:rPr>
          <w:rFonts w:ascii="Arial" w:hAnsi="Arial" w:cs="Arial"/>
          <w:bCs/>
          <w:sz w:val="20"/>
          <w:szCs w:val="20"/>
        </w:rPr>
        <w:t>, están los siguientes:</w:t>
      </w:r>
    </w:p>
    <w:p w:rsidR="002B18BE" w:rsidRDefault="002B18BE" w:rsidP="00942F49">
      <w:pPr>
        <w:pStyle w:val="Textoindependiente"/>
        <w:numPr>
          <w:ilvl w:val="0"/>
          <w:numId w:val="8"/>
        </w:numPr>
        <w:spacing w:line="276" w:lineRule="auto"/>
        <w:jc w:val="both"/>
        <w:outlineLvl w:val="0"/>
        <w:rPr>
          <w:rFonts w:ascii="Arial" w:hAnsi="Arial" w:cs="Arial"/>
          <w:bCs/>
          <w:sz w:val="20"/>
          <w:szCs w:val="20"/>
        </w:rPr>
      </w:pPr>
      <w:r>
        <w:rPr>
          <w:rFonts w:ascii="Arial" w:hAnsi="Arial" w:cs="Arial"/>
          <w:bCs/>
          <w:sz w:val="20"/>
          <w:szCs w:val="20"/>
        </w:rPr>
        <w:t>Imposibilidad de conseguir oferentes de los artículos que se habían estimado como las guillotinas y encuadernadora.</w:t>
      </w:r>
    </w:p>
    <w:p w:rsidR="002B18BE" w:rsidRDefault="002B18BE" w:rsidP="00942F49">
      <w:pPr>
        <w:pStyle w:val="Textoindependiente"/>
        <w:numPr>
          <w:ilvl w:val="0"/>
          <w:numId w:val="8"/>
        </w:numPr>
        <w:spacing w:line="276" w:lineRule="auto"/>
        <w:jc w:val="both"/>
        <w:outlineLvl w:val="0"/>
        <w:rPr>
          <w:rFonts w:ascii="Arial" w:hAnsi="Arial" w:cs="Arial"/>
          <w:bCs/>
          <w:sz w:val="20"/>
          <w:szCs w:val="20"/>
        </w:rPr>
      </w:pPr>
      <w:r>
        <w:rPr>
          <w:rFonts w:ascii="Arial" w:hAnsi="Arial" w:cs="Arial"/>
          <w:bCs/>
          <w:sz w:val="20"/>
          <w:szCs w:val="20"/>
        </w:rPr>
        <w:t>Cumplimiento del Decreto de Contingencia Fiscal N°40540-H</w:t>
      </w:r>
    </w:p>
    <w:p w:rsidR="002B18BE" w:rsidRDefault="002B18BE" w:rsidP="00942F49">
      <w:pPr>
        <w:pStyle w:val="Textoindependiente"/>
        <w:numPr>
          <w:ilvl w:val="0"/>
          <w:numId w:val="8"/>
        </w:numPr>
        <w:spacing w:line="276" w:lineRule="auto"/>
        <w:jc w:val="both"/>
        <w:outlineLvl w:val="0"/>
        <w:rPr>
          <w:rFonts w:ascii="Arial" w:hAnsi="Arial" w:cs="Arial"/>
          <w:bCs/>
          <w:sz w:val="20"/>
          <w:szCs w:val="20"/>
        </w:rPr>
      </w:pPr>
      <w:r>
        <w:rPr>
          <w:rFonts w:ascii="Arial" w:hAnsi="Arial" w:cs="Arial"/>
          <w:bCs/>
          <w:sz w:val="20"/>
          <w:szCs w:val="20"/>
        </w:rPr>
        <w:t xml:space="preserve">La compra de varios repuestos para un servidor de datos, no se pudo realizar debido a que a la obsolescencia del mismo. </w:t>
      </w:r>
    </w:p>
    <w:p w:rsidR="002B18BE" w:rsidRPr="00F04FBB" w:rsidRDefault="002B18BE" w:rsidP="002B18BE">
      <w:pPr>
        <w:pStyle w:val="Textoindependiente"/>
        <w:spacing w:line="360" w:lineRule="auto"/>
        <w:outlineLvl w:val="0"/>
        <w:rPr>
          <w:rFonts w:ascii="Arial" w:hAnsi="Arial" w:cs="Arial"/>
          <w:b/>
          <w:bCs/>
          <w:sz w:val="20"/>
          <w:szCs w:val="20"/>
        </w:rPr>
      </w:pPr>
      <w:r w:rsidRPr="00F04FBB">
        <w:rPr>
          <w:rFonts w:ascii="Arial" w:hAnsi="Arial" w:cs="Arial"/>
          <w:b/>
          <w:bCs/>
          <w:sz w:val="20"/>
          <w:szCs w:val="20"/>
        </w:rPr>
        <w:t xml:space="preserve">Nota </w:t>
      </w:r>
      <w:r>
        <w:rPr>
          <w:rFonts w:ascii="Arial" w:hAnsi="Arial" w:cs="Arial"/>
          <w:b/>
          <w:bCs/>
          <w:sz w:val="20"/>
          <w:szCs w:val="20"/>
        </w:rPr>
        <w:t>4</w:t>
      </w:r>
    </w:p>
    <w:p w:rsidR="002B18BE" w:rsidRDefault="002B18BE" w:rsidP="002B18BE">
      <w:pPr>
        <w:pStyle w:val="Textoindependiente"/>
        <w:spacing w:line="276" w:lineRule="auto"/>
        <w:jc w:val="both"/>
        <w:outlineLvl w:val="0"/>
        <w:rPr>
          <w:rFonts w:ascii="Arial" w:hAnsi="Arial" w:cs="Arial"/>
          <w:bCs/>
          <w:sz w:val="20"/>
          <w:szCs w:val="20"/>
        </w:rPr>
      </w:pPr>
      <w:r w:rsidRPr="00A8120C">
        <w:rPr>
          <w:rFonts w:ascii="Arial" w:hAnsi="Arial" w:cs="Arial"/>
          <w:bCs/>
          <w:sz w:val="20"/>
          <w:szCs w:val="20"/>
        </w:rPr>
        <w:t xml:space="preserve">Entre los factores que </w:t>
      </w:r>
      <w:r>
        <w:rPr>
          <w:rFonts w:ascii="Arial" w:hAnsi="Arial" w:cs="Arial"/>
          <w:bCs/>
          <w:sz w:val="20"/>
          <w:szCs w:val="20"/>
        </w:rPr>
        <w:t>afectaron</w:t>
      </w:r>
      <w:r w:rsidRPr="00A8120C">
        <w:rPr>
          <w:rFonts w:ascii="Arial" w:hAnsi="Arial" w:cs="Arial"/>
          <w:bCs/>
          <w:sz w:val="20"/>
          <w:szCs w:val="20"/>
        </w:rPr>
        <w:t xml:space="preserve"> la ejecución de lo devengado </w:t>
      </w:r>
      <w:r>
        <w:rPr>
          <w:rFonts w:ascii="Arial" w:hAnsi="Arial" w:cs="Arial"/>
          <w:bCs/>
          <w:sz w:val="20"/>
          <w:szCs w:val="20"/>
        </w:rPr>
        <w:t>para el periodo 2017</w:t>
      </w:r>
      <w:r w:rsidRPr="00A8120C">
        <w:rPr>
          <w:rFonts w:ascii="Arial" w:hAnsi="Arial" w:cs="Arial"/>
          <w:bCs/>
          <w:sz w:val="20"/>
          <w:szCs w:val="20"/>
        </w:rPr>
        <w:t>, están los siguientes:</w:t>
      </w:r>
    </w:p>
    <w:p w:rsidR="002B18BE" w:rsidRDefault="002B18BE" w:rsidP="00942F49">
      <w:pPr>
        <w:pStyle w:val="Prrafodelista"/>
        <w:numPr>
          <w:ilvl w:val="0"/>
          <w:numId w:val="9"/>
        </w:numPr>
        <w:spacing w:after="120"/>
        <w:jc w:val="both"/>
        <w:rPr>
          <w:rFonts w:ascii="Arial" w:hAnsi="Arial" w:cs="Arial"/>
          <w:bCs/>
          <w:sz w:val="20"/>
          <w:szCs w:val="20"/>
        </w:rPr>
      </w:pPr>
      <w:r>
        <w:rPr>
          <w:rFonts w:ascii="Arial" w:hAnsi="Arial" w:cs="Arial"/>
          <w:bCs/>
          <w:sz w:val="20"/>
          <w:szCs w:val="20"/>
        </w:rPr>
        <w:t>Las gestiones de firmas de las resoluciones administrativas para el pago de las prestaciones laborales a dos funcionarios, no fue posible que estuvieran antes del cierre de periodo, lo que ocasiono que su pago deba efectuarse en el 2018.</w:t>
      </w:r>
    </w:p>
    <w:p w:rsidR="002B18BE" w:rsidRDefault="002B18BE" w:rsidP="00942F49">
      <w:pPr>
        <w:pStyle w:val="Prrafodelista"/>
        <w:numPr>
          <w:ilvl w:val="0"/>
          <w:numId w:val="9"/>
        </w:numPr>
        <w:spacing w:after="120"/>
        <w:jc w:val="both"/>
        <w:rPr>
          <w:rFonts w:ascii="Arial" w:hAnsi="Arial" w:cs="Arial"/>
          <w:bCs/>
          <w:sz w:val="20"/>
          <w:szCs w:val="20"/>
        </w:rPr>
      </w:pPr>
      <w:r>
        <w:rPr>
          <w:rFonts w:ascii="Arial" w:hAnsi="Arial" w:cs="Arial"/>
          <w:bCs/>
          <w:sz w:val="20"/>
          <w:szCs w:val="20"/>
        </w:rPr>
        <w:t xml:space="preserve">De la totalidad de los recursos destinados a las Organizaciones Comunales en la sub partida 6.04.01-204, la Tesorería Nacional libero únicamente el 90%, lo que significó una sub ejecución de ¢554.140.000,00 </w:t>
      </w:r>
    </w:p>
    <w:p w:rsidR="002B18BE" w:rsidRPr="00F04FBB" w:rsidRDefault="002B18BE" w:rsidP="002B18BE">
      <w:pPr>
        <w:pStyle w:val="Textoindependiente"/>
        <w:spacing w:line="360" w:lineRule="auto"/>
        <w:outlineLvl w:val="0"/>
        <w:rPr>
          <w:rFonts w:ascii="Arial" w:hAnsi="Arial" w:cs="Arial"/>
          <w:b/>
          <w:bCs/>
          <w:sz w:val="20"/>
          <w:szCs w:val="20"/>
        </w:rPr>
      </w:pPr>
      <w:r w:rsidRPr="00F04FBB">
        <w:rPr>
          <w:rFonts w:ascii="Arial" w:hAnsi="Arial" w:cs="Arial"/>
          <w:b/>
          <w:bCs/>
          <w:sz w:val="20"/>
          <w:szCs w:val="20"/>
        </w:rPr>
        <w:t xml:space="preserve">Nota </w:t>
      </w:r>
      <w:r>
        <w:rPr>
          <w:rFonts w:ascii="Arial" w:hAnsi="Arial" w:cs="Arial"/>
          <w:b/>
          <w:bCs/>
          <w:sz w:val="20"/>
          <w:szCs w:val="20"/>
        </w:rPr>
        <w:t>5</w:t>
      </w:r>
    </w:p>
    <w:p w:rsidR="002B18BE" w:rsidRDefault="002B18BE" w:rsidP="002B18BE">
      <w:pPr>
        <w:pStyle w:val="Textoindependiente"/>
        <w:spacing w:line="276" w:lineRule="auto"/>
        <w:jc w:val="both"/>
        <w:outlineLvl w:val="0"/>
        <w:rPr>
          <w:rFonts w:ascii="Arial" w:hAnsi="Arial" w:cs="Arial"/>
          <w:bCs/>
          <w:sz w:val="20"/>
          <w:szCs w:val="20"/>
        </w:rPr>
      </w:pPr>
      <w:r w:rsidRPr="00A8120C">
        <w:rPr>
          <w:rFonts w:ascii="Arial" w:hAnsi="Arial" w:cs="Arial"/>
          <w:bCs/>
          <w:sz w:val="20"/>
          <w:szCs w:val="20"/>
        </w:rPr>
        <w:t xml:space="preserve">Entre los factores que </w:t>
      </w:r>
      <w:r>
        <w:rPr>
          <w:rFonts w:ascii="Arial" w:hAnsi="Arial" w:cs="Arial"/>
          <w:bCs/>
          <w:sz w:val="20"/>
          <w:szCs w:val="20"/>
        </w:rPr>
        <w:t>afectaron</w:t>
      </w:r>
      <w:r w:rsidRPr="00A8120C">
        <w:rPr>
          <w:rFonts w:ascii="Arial" w:hAnsi="Arial" w:cs="Arial"/>
          <w:bCs/>
          <w:sz w:val="20"/>
          <w:szCs w:val="20"/>
        </w:rPr>
        <w:t xml:space="preserve"> la ejecución de lo devengado </w:t>
      </w:r>
      <w:r>
        <w:rPr>
          <w:rFonts w:ascii="Arial" w:hAnsi="Arial" w:cs="Arial"/>
          <w:bCs/>
          <w:sz w:val="20"/>
          <w:szCs w:val="20"/>
        </w:rPr>
        <w:t>para el periodo 2017</w:t>
      </w:r>
      <w:r w:rsidRPr="00A8120C">
        <w:rPr>
          <w:rFonts w:ascii="Arial" w:hAnsi="Arial" w:cs="Arial"/>
          <w:bCs/>
          <w:sz w:val="20"/>
          <w:szCs w:val="20"/>
        </w:rPr>
        <w:t>, están los siguientes:</w:t>
      </w:r>
    </w:p>
    <w:p w:rsidR="002B18BE" w:rsidRDefault="002B18BE" w:rsidP="00942F49">
      <w:pPr>
        <w:pStyle w:val="Prrafodelista"/>
        <w:numPr>
          <w:ilvl w:val="0"/>
          <w:numId w:val="10"/>
        </w:numPr>
        <w:spacing w:after="120"/>
        <w:jc w:val="both"/>
        <w:rPr>
          <w:rFonts w:ascii="Arial" w:hAnsi="Arial" w:cs="Arial"/>
          <w:bCs/>
          <w:sz w:val="20"/>
          <w:szCs w:val="20"/>
        </w:rPr>
      </w:pPr>
      <w:r w:rsidRPr="000B7119">
        <w:rPr>
          <w:rFonts w:ascii="Arial" w:hAnsi="Arial" w:cs="Arial"/>
          <w:bCs/>
          <w:sz w:val="20"/>
          <w:szCs w:val="20"/>
        </w:rPr>
        <w:t xml:space="preserve">De la totalidad de los recursos destinados a las Organizaciones Comunales en la sub partida </w:t>
      </w:r>
      <w:r>
        <w:rPr>
          <w:rFonts w:ascii="Arial" w:hAnsi="Arial" w:cs="Arial"/>
          <w:bCs/>
          <w:sz w:val="20"/>
          <w:szCs w:val="20"/>
        </w:rPr>
        <w:t>7.03.01</w:t>
      </w:r>
      <w:r w:rsidRPr="000B7119">
        <w:rPr>
          <w:rFonts w:ascii="Arial" w:hAnsi="Arial" w:cs="Arial"/>
          <w:bCs/>
          <w:sz w:val="20"/>
          <w:szCs w:val="20"/>
        </w:rPr>
        <w:t>-20</w:t>
      </w:r>
      <w:r>
        <w:rPr>
          <w:rFonts w:ascii="Arial" w:hAnsi="Arial" w:cs="Arial"/>
          <w:bCs/>
          <w:sz w:val="20"/>
          <w:szCs w:val="20"/>
        </w:rPr>
        <w:t>6</w:t>
      </w:r>
      <w:r w:rsidRPr="000B7119">
        <w:rPr>
          <w:rFonts w:ascii="Arial" w:hAnsi="Arial" w:cs="Arial"/>
          <w:bCs/>
          <w:sz w:val="20"/>
          <w:szCs w:val="20"/>
        </w:rPr>
        <w:t>, la Tesorería Nacional libero únicamente el 90%, lo que significó una sub ejecución de ¢554.140.000,00</w:t>
      </w:r>
    </w:p>
    <w:p w:rsidR="002B18BE" w:rsidRPr="00CF4AB3" w:rsidRDefault="002B18BE" w:rsidP="00942F49">
      <w:pPr>
        <w:pStyle w:val="Prrafodelista"/>
        <w:numPr>
          <w:ilvl w:val="0"/>
          <w:numId w:val="10"/>
        </w:numPr>
        <w:spacing w:after="120"/>
        <w:jc w:val="both"/>
        <w:rPr>
          <w:rFonts w:ascii="Arial" w:hAnsi="Arial" w:cs="Arial"/>
          <w:b/>
          <w:bCs/>
          <w:sz w:val="20"/>
          <w:szCs w:val="20"/>
        </w:rPr>
      </w:pPr>
      <w:r w:rsidRPr="00CF4AB3">
        <w:rPr>
          <w:rFonts w:ascii="Arial" w:hAnsi="Arial" w:cs="Arial"/>
          <w:bCs/>
          <w:sz w:val="20"/>
          <w:szCs w:val="20"/>
        </w:rPr>
        <w:lastRenderedPageBreak/>
        <w:t>De la totalidad de los recursos destinados a las Organizaciones Comunales en la sub partida 7.03.01-207,</w:t>
      </w:r>
      <w:r>
        <w:rPr>
          <w:rFonts w:ascii="Arial" w:hAnsi="Arial" w:cs="Arial"/>
          <w:bCs/>
          <w:sz w:val="20"/>
          <w:szCs w:val="20"/>
        </w:rPr>
        <w:t xml:space="preserve"> mismos que </w:t>
      </w:r>
      <w:r w:rsidRPr="00CF4AB3">
        <w:rPr>
          <w:rFonts w:ascii="Arial" w:hAnsi="Arial" w:cs="Arial"/>
          <w:bCs/>
          <w:sz w:val="20"/>
          <w:szCs w:val="20"/>
        </w:rPr>
        <w:t>fueron incluidos mediante Presupuesto Extraordinario,</w:t>
      </w:r>
      <w:r>
        <w:rPr>
          <w:rFonts w:ascii="Arial" w:hAnsi="Arial" w:cs="Arial"/>
          <w:bCs/>
          <w:sz w:val="20"/>
          <w:szCs w:val="20"/>
        </w:rPr>
        <w:t xml:space="preserve"> no se dio la liberación de estos por parte de Tesorería Nacional. </w:t>
      </w:r>
      <w:r w:rsidRPr="00CF4AB3">
        <w:rPr>
          <w:rFonts w:ascii="Arial" w:hAnsi="Arial" w:cs="Arial"/>
          <w:bCs/>
          <w:sz w:val="20"/>
          <w:szCs w:val="20"/>
        </w:rPr>
        <w:t xml:space="preserve"> </w:t>
      </w:r>
    </w:p>
    <w:p w:rsidR="002B18BE" w:rsidRPr="00F04FBB" w:rsidRDefault="002B18BE" w:rsidP="002B18BE">
      <w:pPr>
        <w:pStyle w:val="Textoindependiente"/>
        <w:spacing w:line="360" w:lineRule="auto"/>
        <w:outlineLvl w:val="0"/>
        <w:rPr>
          <w:rFonts w:ascii="Arial" w:hAnsi="Arial" w:cs="Arial"/>
          <w:b/>
          <w:bCs/>
          <w:sz w:val="20"/>
          <w:szCs w:val="20"/>
        </w:rPr>
      </w:pPr>
      <w:r w:rsidRPr="00F04FBB">
        <w:rPr>
          <w:rFonts w:ascii="Arial" w:hAnsi="Arial" w:cs="Arial"/>
          <w:b/>
          <w:bCs/>
          <w:sz w:val="20"/>
          <w:szCs w:val="20"/>
        </w:rPr>
        <w:t xml:space="preserve">Nota </w:t>
      </w:r>
      <w:r>
        <w:rPr>
          <w:rFonts w:ascii="Arial" w:hAnsi="Arial" w:cs="Arial"/>
          <w:b/>
          <w:bCs/>
          <w:sz w:val="20"/>
          <w:szCs w:val="20"/>
        </w:rPr>
        <w:t>6</w:t>
      </w:r>
    </w:p>
    <w:p w:rsidR="002B18BE" w:rsidRDefault="002B18BE" w:rsidP="002B18BE">
      <w:pPr>
        <w:pStyle w:val="Textoindependiente"/>
        <w:spacing w:line="276" w:lineRule="auto"/>
        <w:jc w:val="both"/>
        <w:outlineLvl w:val="0"/>
        <w:rPr>
          <w:rFonts w:ascii="Arial" w:hAnsi="Arial" w:cs="Arial"/>
          <w:bCs/>
          <w:sz w:val="20"/>
          <w:szCs w:val="20"/>
        </w:rPr>
      </w:pPr>
      <w:r w:rsidRPr="00A8120C">
        <w:rPr>
          <w:rFonts w:ascii="Arial" w:hAnsi="Arial" w:cs="Arial"/>
          <w:bCs/>
          <w:sz w:val="20"/>
          <w:szCs w:val="20"/>
        </w:rPr>
        <w:t xml:space="preserve">Entre los factores que </w:t>
      </w:r>
      <w:r>
        <w:rPr>
          <w:rFonts w:ascii="Arial" w:hAnsi="Arial" w:cs="Arial"/>
          <w:bCs/>
          <w:sz w:val="20"/>
          <w:szCs w:val="20"/>
        </w:rPr>
        <w:t>afectaron</w:t>
      </w:r>
      <w:r w:rsidRPr="00A8120C">
        <w:rPr>
          <w:rFonts w:ascii="Arial" w:hAnsi="Arial" w:cs="Arial"/>
          <w:bCs/>
          <w:sz w:val="20"/>
          <w:szCs w:val="20"/>
        </w:rPr>
        <w:t xml:space="preserve"> la ejecución de lo devengado </w:t>
      </w:r>
      <w:r>
        <w:rPr>
          <w:rFonts w:ascii="Arial" w:hAnsi="Arial" w:cs="Arial"/>
          <w:bCs/>
          <w:sz w:val="20"/>
          <w:szCs w:val="20"/>
        </w:rPr>
        <w:t>para el periodo 2017</w:t>
      </w:r>
      <w:r w:rsidRPr="00A8120C">
        <w:rPr>
          <w:rFonts w:ascii="Arial" w:hAnsi="Arial" w:cs="Arial"/>
          <w:bCs/>
          <w:sz w:val="20"/>
          <w:szCs w:val="20"/>
        </w:rPr>
        <w:t>, están los siguientes:</w:t>
      </w:r>
    </w:p>
    <w:p w:rsidR="002B18BE" w:rsidRDefault="002B18BE" w:rsidP="00942F49">
      <w:pPr>
        <w:pStyle w:val="Textoindependiente"/>
        <w:numPr>
          <w:ilvl w:val="0"/>
          <w:numId w:val="11"/>
        </w:numPr>
        <w:spacing w:line="276" w:lineRule="auto"/>
        <w:jc w:val="both"/>
        <w:outlineLvl w:val="0"/>
        <w:rPr>
          <w:rFonts w:ascii="Arial" w:hAnsi="Arial" w:cs="Arial"/>
          <w:bCs/>
          <w:sz w:val="20"/>
          <w:szCs w:val="20"/>
        </w:rPr>
      </w:pPr>
      <w:r>
        <w:rPr>
          <w:rFonts w:ascii="Arial" w:hAnsi="Arial" w:cs="Arial"/>
          <w:bCs/>
          <w:sz w:val="20"/>
          <w:szCs w:val="20"/>
        </w:rPr>
        <w:t>Estos recursos fueron trasladados unilateralmente por Presupuesto Nacional, sin que mediara ninguna solicitud por parte de esta Institución.</w:t>
      </w:r>
    </w:p>
    <w:p w:rsidR="002B18BE" w:rsidRDefault="002B18BE" w:rsidP="002718F6">
      <w:pPr>
        <w:pStyle w:val="Textoindependiente"/>
        <w:spacing w:line="360" w:lineRule="auto"/>
        <w:jc w:val="both"/>
        <w:outlineLvl w:val="0"/>
        <w:rPr>
          <w:rFonts w:ascii="Arial" w:hAnsi="Arial" w:cs="Arial"/>
          <w:bCs/>
          <w:sz w:val="20"/>
          <w:szCs w:val="20"/>
        </w:rPr>
      </w:pPr>
    </w:p>
    <w:p w:rsidR="001236B5" w:rsidRDefault="00477788" w:rsidP="001236B5">
      <w:pPr>
        <w:pStyle w:val="Textoindependiente"/>
        <w:spacing w:line="360" w:lineRule="auto"/>
        <w:jc w:val="both"/>
        <w:outlineLvl w:val="0"/>
        <w:rPr>
          <w:rFonts w:ascii="Arial" w:hAnsi="Arial" w:cs="Arial"/>
          <w:bCs/>
          <w:sz w:val="20"/>
          <w:szCs w:val="20"/>
        </w:rPr>
      </w:pPr>
      <w:r w:rsidRPr="00E9277A">
        <w:rPr>
          <w:rFonts w:ascii="Arial" w:hAnsi="Arial" w:cs="Arial"/>
          <w:b/>
          <w:bCs/>
          <w:sz w:val="20"/>
          <w:szCs w:val="20"/>
        </w:rPr>
        <w:t>C</w:t>
      </w:r>
      <w:r w:rsidR="007B5F55" w:rsidRPr="00E9277A">
        <w:rPr>
          <w:rFonts w:ascii="Arial" w:hAnsi="Arial" w:cs="Arial"/>
          <w:b/>
          <w:bCs/>
          <w:sz w:val="20"/>
          <w:szCs w:val="20"/>
        </w:rPr>
        <w:t>omplete el siguiente cuadro con l</w:t>
      </w:r>
      <w:r w:rsidR="00E0291B" w:rsidRPr="00E9277A">
        <w:rPr>
          <w:rFonts w:ascii="Arial" w:hAnsi="Arial" w:cs="Arial"/>
          <w:b/>
          <w:bCs/>
          <w:sz w:val="20"/>
          <w:szCs w:val="20"/>
        </w:rPr>
        <w:t>as partidas que presentaron al Primer</w:t>
      </w:r>
      <w:r w:rsidR="007B5F55" w:rsidRPr="00E9277A">
        <w:rPr>
          <w:rFonts w:ascii="Arial" w:hAnsi="Arial" w:cs="Arial"/>
          <w:b/>
          <w:bCs/>
          <w:sz w:val="20"/>
          <w:szCs w:val="20"/>
        </w:rPr>
        <w:t xml:space="preserve"> Semestre un porcentaje de ejecución presupuestaria inferior al 45% </w:t>
      </w:r>
      <w:r w:rsidR="007B5F55" w:rsidRPr="00E9277A">
        <w:rPr>
          <w:rFonts w:ascii="Arial" w:hAnsi="Arial" w:cs="Arial"/>
          <w:b/>
          <w:bCs/>
          <w:sz w:val="20"/>
          <w:szCs w:val="20"/>
          <w:u w:val="single"/>
        </w:rPr>
        <w:t>y</w:t>
      </w:r>
      <w:r w:rsidR="007B5F55" w:rsidRPr="00E9277A">
        <w:rPr>
          <w:rFonts w:ascii="Arial" w:hAnsi="Arial" w:cs="Arial"/>
          <w:b/>
          <w:bCs/>
          <w:sz w:val="20"/>
          <w:szCs w:val="20"/>
        </w:rPr>
        <w:t xml:space="preserve"> que al cierre del ejercicio </w:t>
      </w:r>
      <w:r w:rsidRPr="00E9277A">
        <w:rPr>
          <w:rFonts w:ascii="Arial" w:hAnsi="Arial" w:cs="Arial"/>
          <w:b/>
          <w:bCs/>
          <w:sz w:val="20"/>
          <w:szCs w:val="20"/>
        </w:rPr>
        <w:t>201</w:t>
      </w:r>
      <w:r w:rsidR="00A25A29" w:rsidRPr="00E9277A">
        <w:rPr>
          <w:rFonts w:ascii="Arial" w:hAnsi="Arial" w:cs="Arial"/>
          <w:b/>
          <w:bCs/>
          <w:sz w:val="20"/>
          <w:szCs w:val="20"/>
        </w:rPr>
        <w:t>7</w:t>
      </w:r>
      <w:r w:rsidRPr="00E9277A">
        <w:rPr>
          <w:rFonts w:ascii="Arial" w:hAnsi="Arial" w:cs="Arial"/>
          <w:b/>
          <w:bCs/>
          <w:sz w:val="20"/>
          <w:szCs w:val="20"/>
        </w:rPr>
        <w:t xml:space="preserve"> </w:t>
      </w:r>
      <w:r w:rsidR="007B5F55" w:rsidRPr="00E9277A">
        <w:rPr>
          <w:rFonts w:ascii="Arial" w:hAnsi="Arial" w:cs="Arial"/>
          <w:b/>
          <w:bCs/>
          <w:sz w:val="20"/>
          <w:szCs w:val="20"/>
        </w:rPr>
        <w:t>tienen un porcentaje de ejecución presupuestaria igual o inferior al 90%</w:t>
      </w:r>
      <w:r w:rsidRPr="00E9277A">
        <w:rPr>
          <w:rFonts w:ascii="Arial" w:hAnsi="Arial" w:cs="Arial"/>
          <w:b/>
          <w:bCs/>
          <w:sz w:val="20"/>
          <w:szCs w:val="20"/>
        </w:rPr>
        <w:t>, lo anterior sin considerar los recursos de crédito público</w:t>
      </w:r>
      <w:r w:rsidR="007B5F55" w:rsidRPr="00E9277A">
        <w:rPr>
          <w:rFonts w:ascii="Arial" w:hAnsi="Arial" w:cs="Arial"/>
          <w:bCs/>
          <w:sz w:val="20"/>
          <w:szCs w:val="20"/>
        </w:rPr>
        <w:t>:</w:t>
      </w:r>
      <w:r w:rsidR="001236B5" w:rsidRPr="001236B5">
        <w:rPr>
          <w:rFonts w:ascii="Arial" w:hAnsi="Arial" w:cs="Arial"/>
          <w:bCs/>
          <w:sz w:val="20"/>
          <w:szCs w:val="20"/>
        </w:rPr>
        <w:t xml:space="preserve"> </w:t>
      </w:r>
    </w:p>
    <w:p w:rsidR="001236B5" w:rsidRDefault="001236B5" w:rsidP="00942F49">
      <w:pPr>
        <w:pStyle w:val="Textoindependiente"/>
        <w:numPr>
          <w:ilvl w:val="0"/>
          <w:numId w:val="5"/>
        </w:numPr>
        <w:spacing w:line="276" w:lineRule="auto"/>
        <w:jc w:val="both"/>
        <w:outlineLvl w:val="0"/>
        <w:rPr>
          <w:rFonts w:ascii="Arial" w:hAnsi="Arial" w:cs="Arial"/>
          <w:bCs/>
          <w:sz w:val="20"/>
          <w:szCs w:val="20"/>
        </w:rPr>
      </w:pPr>
      <w:r>
        <w:rPr>
          <w:rFonts w:ascii="Arial" w:hAnsi="Arial" w:cs="Arial"/>
          <w:bCs/>
          <w:sz w:val="20"/>
          <w:szCs w:val="20"/>
        </w:rPr>
        <w:t>No se adjunta dicho cuadro por cuanto las partidas son las mismas que las mencionadas y justificadas en el Cuadro 1.1.2</w:t>
      </w:r>
    </w:p>
    <w:p w:rsidR="007B5F55" w:rsidRDefault="007B5F55" w:rsidP="007B5F55">
      <w:pPr>
        <w:pStyle w:val="Textoindependiente"/>
        <w:spacing w:line="360" w:lineRule="auto"/>
        <w:jc w:val="both"/>
        <w:outlineLvl w:val="0"/>
        <w:rPr>
          <w:rFonts w:ascii="Arial" w:hAnsi="Arial" w:cs="Arial"/>
          <w:bCs/>
          <w:sz w:val="20"/>
          <w:szCs w:val="20"/>
        </w:rPr>
      </w:pPr>
    </w:p>
    <w:p w:rsidR="00871274" w:rsidRDefault="00871274" w:rsidP="007B5F55">
      <w:pPr>
        <w:pStyle w:val="Textoindependiente"/>
        <w:spacing w:line="360" w:lineRule="auto"/>
        <w:jc w:val="center"/>
        <w:outlineLvl w:val="0"/>
        <w:rPr>
          <w:rFonts w:ascii="Arial" w:hAnsi="Arial" w:cs="Arial"/>
          <w:bCs/>
          <w:sz w:val="20"/>
          <w:szCs w:val="20"/>
        </w:rPr>
      </w:pPr>
    </w:p>
    <w:p w:rsidR="008A7470" w:rsidRPr="00915BBA" w:rsidRDefault="008B5F97" w:rsidP="00E70620">
      <w:pPr>
        <w:pStyle w:val="Textoindependiente"/>
        <w:spacing w:line="360" w:lineRule="auto"/>
        <w:outlineLvl w:val="0"/>
        <w:rPr>
          <w:rFonts w:ascii="Arial" w:hAnsi="Arial" w:cs="Arial"/>
          <w:b/>
          <w:bCs/>
          <w:sz w:val="20"/>
          <w:szCs w:val="20"/>
        </w:rPr>
      </w:pPr>
      <w:r>
        <w:rPr>
          <w:rFonts w:ascii="Arial" w:hAnsi="Arial" w:cs="Arial"/>
          <w:b/>
          <w:bCs/>
          <w:sz w:val="20"/>
          <w:szCs w:val="20"/>
        </w:rPr>
        <w:t>Sobre transferencias</w:t>
      </w:r>
      <w:r w:rsidR="00BD7115">
        <w:rPr>
          <w:rFonts w:ascii="Arial" w:hAnsi="Arial" w:cs="Arial"/>
          <w:b/>
          <w:bCs/>
          <w:sz w:val="20"/>
          <w:szCs w:val="20"/>
        </w:rPr>
        <w:t xml:space="preserve"> </w:t>
      </w:r>
    </w:p>
    <w:p w:rsidR="000905C1" w:rsidRDefault="00A12B7F" w:rsidP="007D272F">
      <w:pPr>
        <w:pStyle w:val="Textoindependiente"/>
        <w:spacing w:line="360" w:lineRule="auto"/>
        <w:jc w:val="both"/>
        <w:outlineLvl w:val="0"/>
        <w:rPr>
          <w:rFonts w:ascii="Arial" w:hAnsi="Arial" w:cs="Arial"/>
          <w:bCs/>
          <w:sz w:val="20"/>
          <w:szCs w:val="20"/>
        </w:rPr>
      </w:pPr>
      <w:r>
        <w:rPr>
          <w:rFonts w:ascii="Arial" w:hAnsi="Arial" w:cs="Arial"/>
          <w:bCs/>
          <w:sz w:val="20"/>
          <w:szCs w:val="20"/>
        </w:rPr>
        <w:t>En atención a la Ley General de Administración Pública 6227 artículos 27.1 y 99, l</w:t>
      </w:r>
      <w:r w:rsidR="00B56DBB">
        <w:rPr>
          <w:rFonts w:ascii="Arial" w:hAnsi="Arial" w:cs="Arial"/>
          <w:bCs/>
          <w:sz w:val="20"/>
          <w:szCs w:val="20"/>
        </w:rPr>
        <w:t xml:space="preserve">as </w:t>
      </w:r>
      <w:r w:rsidR="00F73CE6" w:rsidRPr="00915BBA">
        <w:rPr>
          <w:rFonts w:ascii="Arial" w:hAnsi="Arial" w:cs="Arial"/>
          <w:bCs/>
          <w:sz w:val="20"/>
          <w:szCs w:val="20"/>
        </w:rPr>
        <w:t xml:space="preserve">instituciones que </w:t>
      </w:r>
      <w:r w:rsidR="008B5F97">
        <w:rPr>
          <w:rFonts w:ascii="Arial" w:hAnsi="Arial" w:cs="Arial"/>
          <w:bCs/>
          <w:sz w:val="20"/>
          <w:szCs w:val="20"/>
        </w:rPr>
        <w:t>transfieren</w:t>
      </w:r>
      <w:r w:rsidR="00F73CE6" w:rsidRPr="00915BBA">
        <w:rPr>
          <w:rFonts w:ascii="Arial" w:hAnsi="Arial" w:cs="Arial"/>
          <w:bCs/>
          <w:sz w:val="20"/>
          <w:szCs w:val="20"/>
        </w:rPr>
        <w:t xml:space="preserve"> recursos </w:t>
      </w:r>
      <w:r w:rsidR="000905C1">
        <w:rPr>
          <w:rFonts w:ascii="Arial" w:hAnsi="Arial" w:cs="Arial"/>
          <w:bCs/>
          <w:sz w:val="20"/>
          <w:szCs w:val="20"/>
        </w:rPr>
        <w:t>a los órganos desconcentrados e instituciones descentralizadas (</w:t>
      </w:r>
      <w:r w:rsidR="0004514B">
        <w:rPr>
          <w:rFonts w:ascii="Arial" w:hAnsi="Arial" w:cs="Arial"/>
          <w:bCs/>
          <w:sz w:val="20"/>
          <w:szCs w:val="20"/>
        </w:rPr>
        <w:t>sin</w:t>
      </w:r>
      <w:r w:rsidR="000905C1">
        <w:rPr>
          <w:rFonts w:ascii="Arial" w:hAnsi="Arial" w:cs="Arial"/>
          <w:bCs/>
          <w:sz w:val="20"/>
          <w:szCs w:val="20"/>
        </w:rPr>
        <w:t xml:space="preserve"> considerar</w:t>
      </w:r>
      <w:r w:rsidR="00411BD2">
        <w:rPr>
          <w:rFonts w:ascii="Arial" w:hAnsi="Arial" w:cs="Arial"/>
          <w:bCs/>
          <w:sz w:val="20"/>
          <w:szCs w:val="20"/>
        </w:rPr>
        <w:t xml:space="preserve"> las </w:t>
      </w:r>
      <w:r w:rsidR="000905C1">
        <w:rPr>
          <w:rFonts w:ascii="Arial" w:hAnsi="Arial" w:cs="Arial"/>
          <w:bCs/>
          <w:sz w:val="20"/>
          <w:szCs w:val="20"/>
        </w:rPr>
        <w:t xml:space="preserve">contribuciones sociales) </w:t>
      </w:r>
      <w:r w:rsidR="00F73CE6" w:rsidRPr="00915BBA">
        <w:rPr>
          <w:rFonts w:ascii="Arial" w:hAnsi="Arial" w:cs="Arial"/>
          <w:bCs/>
          <w:sz w:val="20"/>
          <w:szCs w:val="20"/>
        </w:rPr>
        <w:t>deberán llenar el siguiente cuadro</w:t>
      </w:r>
      <w:r w:rsidR="00915BBA">
        <w:rPr>
          <w:rFonts w:ascii="Arial" w:hAnsi="Arial" w:cs="Arial"/>
          <w:bCs/>
          <w:sz w:val="20"/>
          <w:szCs w:val="20"/>
        </w:rPr>
        <w:t xml:space="preserve">, </w:t>
      </w:r>
      <w:r w:rsidR="000905C1">
        <w:rPr>
          <w:rFonts w:ascii="Arial" w:hAnsi="Arial" w:cs="Arial"/>
          <w:bCs/>
          <w:sz w:val="20"/>
          <w:szCs w:val="20"/>
        </w:rPr>
        <w:t xml:space="preserve">lo anterior, </w:t>
      </w:r>
      <w:r w:rsidR="00915BBA">
        <w:rPr>
          <w:rFonts w:ascii="Arial" w:hAnsi="Arial" w:cs="Arial"/>
          <w:bCs/>
          <w:sz w:val="20"/>
          <w:szCs w:val="20"/>
        </w:rPr>
        <w:t>con el fin de conocer las acciones de dirección, coordinación y vigilancia que llevaron a cabo</w:t>
      </w:r>
      <w:r w:rsidR="005B6083">
        <w:rPr>
          <w:rFonts w:ascii="Arial" w:hAnsi="Arial" w:cs="Arial"/>
          <w:bCs/>
          <w:sz w:val="20"/>
          <w:szCs w:val="20"/>
        </w:rPr>
        <w:t xml:space="preserve"> sobre é</w:t>
      </w:r>
      <w:r w:rsidR="008B5F97">
        <w:rPr>
          <w:rFonts w:ascii="Arial" w:hAnsi="Arial" w:cs="Arial"/>
          <w:bCs/>
          <w:sz w:val="20"/>
          <w:szCs w:val="20"/>
        </w:rPr>
        <w:t>stos</w:t>
      </w:r>
      <w:r w:rsidR="00915BBA">
        <w:rPr>
          <w:rFonts w:ascii="Arial" w:hAnsi="Arial" w:cs="Arial"/>
          <w:bCs/>
          <w:sz w:val="20"/>
          <w:szCs w:val="20"/>
        </w:rPr>
        <w:t xml:space="preserve"> en el 201</w:t>
      </w:r>
      <w:r w:rsidR="0004514B">
        <w:rPr>
          <w:rFonts w:ascii="Arial" w:hAnsi="Arial" w:cs="Arial"/>
          <w:bCs/>
          <w:sz w:val="20"/>
          <w:szCs w:val="20"/>
        </w:rPr>
        <w:t>7</w:t>
      </w:r>
      <w:r w:rsidR="008B5F97">
        <w:rPr>
          <w:rFonts w:ascii="Arial" w:hAnsi="Arial" w:cs="Arial"/>
          <w:bCs/>
          <w:sz w:val="20"/>
          <w:szCs w:val="20"/>
        </w:rPr>
        <w:t>; así como los saldos disponibles en caja única</w:t>
      </w:r>
      <w:r w:rsidR="00F73CE6" w:rsidRPr="00915BBA">
        <w:rPr>
          <w:rFonts w:ascii="Arial" w:hAnsi="Arial" w:cs="Arial"/>
          <w:bCs/>
          <w:sz w:val="20"/>
          <w:szCs w:val="20"/>
        </w:rPr>
        <w:t>:</w:t>
      </w:r>
    </w:p>
    <w:p w:rsidR="001236B5" w:rsidRDefault="001236B5" w:rsidP="00942F49">
      <w:pPr>
        <w:pStyle w:val="Textoindependiente"/>
        <w:numPr>
          <w:ilvl w:val="0"/>
          <w:numId w:val="5"/>
        </w:numPr>
        <w:spacing w:line="276" w:lineRule="auto"/>
        <w:jc w:val="both"/>
        <w:outlineLvl w:val="0"/>
        <w:rPr>
          <w:rFonts w:ascii="Arial" w:hAnsi="Arial" w:cs="Arial"/>
          <w:bCs/>
          <w:sz w:val="20"/>
          <w:szCs w:val="20"/>
        </w:rPr>
      </w:pPr>
      <w:r>
        <w:rPr>
          <w:rFonts w:ascii="Arial" w:hAnsi="Arial" w:cs="Arial"/>
          <w:bCs/>
          <w:sz w:val="20"/>
          <w:szCs w:val="20"/>
        </w:rPr>
        <w:t xml:space="preserve">No se adjunta dicho cuadro por cuanto no hubo recursos en el Presupuesto Institucional que se tuvieran que trasladar a otras instituciones. </w:t>
      </w:r>
    </w:p>
    <w:p w:rsidR="00915BBA" w:rsidRDefault="00915BBA" w:rsidP="000905C1">
      <w:pPr>
        <w:pStyle w:val="Textoindependiente"/>
        <w:spacing w:line="360" w:lineRule="auto"/>
        <w:jc w:val="center"/>
        <w:outlineLvl w:val="0"/>
        <w:rPr>
          <w:rFonts w:asciiTheme="minorHAnsi" w:hAnsiTheme="minorHAnsi"/>
          <w:bCs/>
          <w:szCs w:val="22"/>
        </w:rPr>
      </w:pPr>
    </w:p>
    <w:p w:rsidR="001236B5" w:rsidRDefault="001236B5" w:rsidP="000905C1">
      <w:pPr>
        <w:pStyle w:val="Textoindependiente"/>
        <w:spacing w:line="360" w:lineRule="auto"/>
        <w:jc w:val="center"/>
        <w:outlineLvl w:val="0"/>
        <w:rPr>
          <w:rFonts w:asciiTheme="minorHAnsi" w:hAnsiTheme="minorHAnsi"/>
          <w:bCs/>
          <w:szCs w:val="22"/>
        </w:rPr>
      </w:pPr>
    </w:p>
    <w:p w:rsidR="002B18BE" w:rsidRDefault="002B18BE" w:rsidP="002B18BE">
      <w:pPr>
        <w:pStyle w:val="Textoindependiente"/>
        <w:spacing w:line="360" w:lineRule="auto"/>
        <w:ind w:left="360"/>
        <w:jc w:val="both"/>
        <w:outlineLvl w:val="0"/>
        <w:rPr>
          <w:rFonts w:ascii="Arial" w:hAnsi="Arial" w:cs="Arial"/>
          <w:b/>
          <w:bCs/>
          <w:sz w:val="22"/>
          <w:szCs w:val="22"/>
        </w:rPr>
      </w:pPr>
    </w:p>
    <w:p w:rsidR="002B18BE" w:rsidRDefault="002B18BE" w:rsidP="002B18BE">
      <w:pPr>
        <w:pStyle w:val="Textoindependiente"/>
        <w:spacing w:line="360" w:lineRule="auto"/>
        <w:ind w:left="360"/>
        <w:jc w:val="both"/>
        <w:outlineLvl w:val="0"/>
        <w:rPr>
          <w:rFonts w:ascii="Arial" w:hAnsi="Arial" w:cs="Arial"/>
          <w:b/>
          <w:bCs/>
          <w:sz w:val="22"/>
          <w:szCs w:val="22"/>
        </w:rPr>
      </w:pPr>
    </w:p>
    <w:p w:rsidR="003336D8" w:rsidRDefault="003336D8">
      <w:pPr>
        <w:rPr>
          <w:rFonts w:ascii="Arial" w:hAnsi="Arial" w:cs="Arial"/>
          <w:b/>
          <w:bCs/>
          <w:sz w:val="22"/>
          <w:szCs w:val="22"/>
        </w:rPr>
      </w:pPr>
      <w:r>
        <w:rPr>
          <w:rFonts w:ascii="Arial" w:hAnsi="Arial" w:cs="Arial"/>
          <w:b/>
          <w:bCs/>
          <w:sz w:val="22"/>
          <w:szCs w:val="22"/>
        </w:rPr>
        <w:br w:type="page"/>
      </w:r>
    </w:p>
    <w:p w:rsidR="002B18BE" w:rsidRPr="002B18BE" w:rsidRDefault="002B18BE" w:rsidP="002B18BE">
      <w:pPr>
        <w:pStyle w:val="Textoindependiente"/>
        <w:spacing w:line="360" w:lineRule="auto"/>
        <w:ind w:left="360"/>
        <w:jc w:val="both"/>
        <w:outlineLvl w:val="0"/>
        <w:rPr>
          <w:rFonts w:ascii="Arial" w:hAnsi="Arial" w:cs="Arial"/>
          <w:b/>
          <w:bCs/>
          <w:sz w:val="22"/>
          <w:szCs w:val="22"/>
        </w:rPr>
      </w:pPr>
    </w:p>
    <w:p w:rsidR="00F16F20" w:rsidRPr="00D57EE9" w:rsidRDefault="004D68B9" w:rsidP="00942F49">
      <w:pPr>
        <w:pStyle w:val="Textoindependiente"/>
        <w:numPr>
          <w:ilvl w:val="0"/>
          <w:numId w:val="4"/>
        </w:numPr>
        <w:spacing w:line="360" w:lineRule="auto"/>
        <w:jc w:val="both"/>
        <w:outlineLvl w:val="0"/>
        <w:rPr>
          <w:rFonts w:ascii="Arial" w:hAnsi="Arial" w:cs="Arial"/>
          <w:b/>
          <w:bCs/>
          <w:sz w:val="22"/>
          <w:szCs w:val="22"/>
        </w:rPr>
      </w:pPr>
      <w:r>
        <w:rPr>
          <w:rFonts w:ascii="Arial" w:hAnsi="Arial" w:cs="Arial"/>
          <w:b/>
          <w:bCs/>
          <w:sz w:val="22"/>
          <w:szCs w:val="22"/>
        </w:rPr>
        <w:t>APARTADO</w:t>
      </w:r>
      <w:r w:rsidR="00432E4B" w:rsidRPr="00432E4B">
        <w:rPr>
          <w:rFonts w:ascii="Arial" w:hAnsi="Arial" w:cs="Arial"/>
          <w:b/>
          <w:bCs/>
          <w:sz w:val="22"/>
          <w:szCs w:val="22"/>
        </w:rPr>
        <w:t xml:space="preserve"> </w:t>
      </w:r>
      <w:proofErr w:type="gramStart"/>
      <w:r w:rsidR="00432E4B" w:rsidRPr="00432E4B">
        <w:rPr>
          <w:rFonts w:ascii="Arial" w:hAnsi="Arial" w:cs="Arial"/>
          <w:b/>
          <w:bCs/>
          <w:sz w:val="22"/>
          <w:szCs w:val="22"/>
        </w:rPr>
        <w:t>PROGRAMÁTICO</w:t>
      </w:r>
      <w:r w:rsidR="004947FD">
        <w:rPr>
          <w:rFonts w:ascii="Arial" w:hAnsi="Arial" w:cs="Arial"/>
          <w:b/>
          <w:bCs/>
          <w:sz w:val="22"/>
          <w:szCs w:val="22"/>
        </w:rPr>
        <w:t xml:space="preserve"> </w:t>
      </w:r>
      <w:r w:rsidR="00432E4B" w:rsidRPr="00432E4B">
        <w:rPr>
          <w:rFonts w:ascii="Arial" w:hAnsi="Arial" w:cs="Arial"/>
          <w:b/>
          <w:bCs/>
          <w:sz w:val="22"/>
          <w:szCs w:val="22"/>
        </w:rPr>
        <w:t xml:space="preserve"> </w:t>
      </w:r>
      <w:r w:rsidR="003336D8">
        <w:rPr>
          <w:rFonts w:ascii="Arial" w:hAnsi="Arial" w:cs="Arial"/>
          <w:b/>
          <w:bCs/>
          <w:sz w:val="22"/>
          <w:szCs w:val="22"/>
        </w:rPr>
        <w:t>DINADECO</w:t>
      </w:r>
      <w:proofErr w:type="gramEnd"/>
    </w:p>
    <w:p w:rsidR="00F16F20" w:rsidRPr="000D1D40" w:rsidRDefault="00F16F20" w:rsidP="00F16F20">
      <w:pPr>
        <w:jc w:val="both"/>
        <w:rPr>
          <w:rFonts w:ascii="Arial" w:hAnsi="Arial" w:cs="Arial"/>
          <w:b/>
          <w:sz w:val="20"/>
          <w:szCs w:val="20"/>
        </w:rPr>
      </w:pPr>
    </w:p>
    <w:p w:rsidR="00C0377D" w:rsidRPr="00BE0AA2" w:rsidRDefault="00C0377D" w:rsidP="00A0647C">
      <w:pPr>
        <w:tabs>
          <w:tab w:val="left" w:pos="8460"/>
          <w:tab w:val="left" w:pos="8640"/>
          <w:tab w:val="left" w:pos="8820"/>
        </w:tabs>
        <w:spacing w:line="360" w:lineRule="auto"/>
        <w:jc w:val="both"/>
        <w:rPr>
          <w:rFonts w:ascii="Arial" w:hAnsi="Arial" w:cs="Arial"/>
          <w:sz w:val="20"/>
          <w:szCs w:val="20"/>
          <w:lang w:val="es-MX"/>
        </w:rPr>
      </w:pPr>
      <w:r w:rsidRPr="00421A08">
        <w:rPr>
          <w:rFonts w:ascii="Arial" w:hAnsi="Arial" w:cs="Arial"/>
          <w:b/>
          <w:sz w:val="20"/>
          <w:szCs w:val="20"/>
          <w:u w:val="single"/>
          <w:lang w:val="es-MX"/>
        </w:rPr>
        <w:t>Objetivo:</w:t>
      </w:r>
      <w:r w:rsidR="00040226">
        <w:rPr>
          <w:rFonts w:ascii="Arial" w:hAnsi="Arial" w:cs="Arial"/>
          <w:b/>
          <w:sz w:val="20"/>
          <w:szCs w:val="20"/>
          <w:u w:val="single"/>
          <w:lang w:val="es-MX"/>
        </w:rPr>
        <w:t xml:space="preserve"> </w:t>
      </w:r>
      <w:r w:rsidRPr="00BE0AA2">
        <w:rPr>
          <w:rFonts w:ascii="Arial" w:hAnsi="Arial" w:cs="Arial"/>
          <w:sz w:val="20"/>
          <w:szCs w:val="20"/>
          <w:lang w:val="es-MX"/>
        </w:rPr>
        <w:t xml:space="preserve">Conocer </w:t>
      </w:r>
      <w:r w:rsidR="009470D5" w:rsidRPr="00BE0AA2">
        <w:rPr>
          <w:rFonts w:ascii="Arial" w:hAnsi="Arial" w:cs="Arial"/>
          <w:sz w:val="20"/>
          <w:szCs w:val="20"/>
          <w:lang w:val="es-MX"/>
        </w:rPr>
        <w:t xml:space="preserve">el </w:t>
      </w:r>
      <w:r w:rsidR="0066720D" w:rsidRPr="00BE0AA2">
        <w:rPr>
          <w:rFonts w:ascii="Arial" w:hAnsi="Arial" w:cs="Arial"/>
          <w:sz w:val="20"/>
          <w:szCs w:val="20"/>
          <w:lang w:val="es-MX"/>
        </w:rPr>
        <w:t>logro</w:t>
      </w:r>
      <w:r w:rsidR="009470D5" w:rsidRPr="00BE0AA2">
        <w:rPr>
          <w:rFonts w:ascii="Arial" w:hAnsi="Arial" w:cs="Arial"/>
          <w:sz w:val="20"/>
          <w:szCs w:val="20"/>
          <w:lang w:val="es-MX"/>
        </w:rPr>
        <w:t xml:space="preserve"> de la gestión </w:t>
      </w:r>
      <w:r w:rsidR="00A0647C" w:rsidRPr="00BE0AA2">
        <w:rPr>
          <w:rFonts w:ascii="Arial" w:hAnsi="Arial" w:cs="Arial"/>
          <w:sz w:val="20"/>
          <w:szCs w:val="20"/>
          <w:lang w:val="es-MX"/>
        </w:rPr>
        <w:t>física y financiera del programa</w:t>
      </w:r>
      <w:r w:rsidR="00040226" w:rsidRPr="00BE0AA2">
        <w:rPr>
          <w:rFonts w:ascii="Arial" w:hAnsi="Arial" w:cs="Arial"/>
          <w:sz w:val="20"/>
          <w:szCs w:val="20"/>
          <w:lang w:val="es-MX"/>
        </w:rPr>
        <w:t xml:space="preserve"> </w:t>
      </w:r>
      <w:r w:rsidR="00281699" w:rsidRPr="00BE0AA2">
        <w:rPr>
          <w:rFonts w:ascii="Arial" w:hAnsi="Arial" w:cs="Arial"/>
          <w:sz w:val="20"/>
          <w:szCs w:val="20"/>
          <w:lang w:val="es-MX"/>
        </w:rPr>
        <w:t xml:space="preserve">o subprograma </w:t>
      </w:r>
      <w:r w:rsidR="00B94370" w:rsidRPr="00BE0AA2">
        <w:rPr>
          <w:rFonts w:ascii="Arial" w:hAnsi="Arial" w:cs="Arial"/>
          <w:sz w:val="20"/>
          <w:szCs w:val="20"/>
          <w:lang w:val="es-MX"/>
        </w:rPr>
        <w:t xml:space="preserve">durante </w:t>
      </w:r>
      <w:r w:rsidRPr="00BE0AA2">
        <w:rPr>
          <w:rFonts w:ascii="Arial" w:hAnsi="Arial" w:cs="Arial"/>
          <w:sz w:val="20"/>
          <w:szCs w:val="20"/>
          <w:lang w:val="es-MX"/>
        </w:rPr>
        <w:t xml:space="preserve">el </w:t>
      </w:r>
      <w:r w:rsidR="00494CE0" w:rsidRPr="00BE0AA2">
        <w:rPr>
          <w:rFonts w:ascii="Arial" w:hAnsi="Arial" w:cs="Arial"/>
          <w:sz w:val="20"/>
          <w:szCs w:val="20"/>
          <w:lang w:val="es-MX"/>
        </w:rPr>
        <w:t>20</w:t>
      </w:r>
      <w:r w:rsidR="00E6033C" w:rsidRPr="00BE0AA2">
        <w:rPr>
          <w:rFonts w:ascii="Arial" w:hAnsi="Arial" w:cs="Arial"/>
          <w:sz w:val="20"/>
          <w:szCs w:val="20"/>
          <w:lang w:val="es-MX"/>
        </w:rPr>
        <w:t>1</w:t>
      </w:r>
      <w:r w:rsidR="00FB7C0D">
        <w:rPr>
          <w:rFonts w:ascii="Arial" w:hAnsi="Arial" w:cs="Arial"/>
          <w:sz w:val="20"/>
          <w:szCs w:val="20"/>
          <w:lang w:val="es-MX"/>
        </w:rPr>
        <w:t>7</w:t>
      </w:r>
      <w:r w:rsidRPr="00BE0AA2">
        <w:rPr>
          <w:rFonts w:ascii="Arial" w:hAnsi="Arial" w:cs="Arial"/>
          <w:sz w:val="20"/>
          <w:szCs w:val="20"/>
          <w:lang w:val="es-MX"/>
        </w:rPr>
        <w:t xml:space="preserve">. </w:t>
      </w:r>
    </w:p>
    <w:p w:rsidR="00A0647C" w:rsidRDefault="00A0647C" w:rsidP="00A0647C">
      <w:pPr>
        <w:jc w:val="both"/>
        <w:rPr>
          <w:rFonts w:ascii="Arial" w:hAnsi="Arial" w:cs="Arial"/>
          <w:b/>
          <w:sz w:val="20"/>
          <w:szCs w:val="20"/>
          <w:lang w:val="es-MX"/>
        </w:rPr>
      </w:pPr>
    </w:p>
    <w:p w:rsidR="00A0647C" w:rsidRPr="00841F3E" w:rsidRDefault="00A0647C" w:rsidP="00BD5F61">
      <w:pPr>
        <w:spacing w:line="360" w:lineRule="auto"/>
        <w:jc w:val="both"/>
        <w:rPr>
          <w:rFonts w:ascii="Arial" w:hAnsi="Arial" w:cs="Arial"/>
          <w:sz w:val="20"/>
          <w:szCs w:val="20"/>
          <w:lang w:val="es-MX"/>
        </w:rPr>
      </w:pPr>
      <w:r w:rsidRPr="00421A08">
        <w:rPr>
          <w:rFonts w:ascii="Arial" w:hAnsi="Arial" w:cs="Arial"/>
          <w:b/>
          <w:sz w:val="20"/>
          <w:szCs w:val="20"/>
          <w:lang w:val="es-MX"/>
        </w:rPr>
        <w:t>Código y nombre del Programa</w:t>
      </w:r>
      <w:r w:rsidR="00117EC9">
        <w:rPr>
          <w:rFonts w:ascii="Arial" w:hAnsi="Arial" w:cs="Arial"/>
          <w:b/>
          <w:sz w:val="20"/>
          <w:szCs w:val="20"/>
          <w:lang w:val="es-MX"/>
        </w:rPr>
        <w:t xml:space="preserve"> o Subprograma</w:t>
      </w:r>
      <w:r w:rsidRPr="00421A08">
        <w:rPr>
          <w:rFonts w:ascii="Arial" w:hAnsi="Arial" w:cs="Arial"/>
          <w:b/>
          <w:sz w:val="20"/>
          <w:szCs w:val="20"/>
          <w:lang w:val="es-MX"/>
        </w:rPr>
        <w:t>:</w:t>
      </w:r>
      <w:r w:rsidR="00841F3E">
        <w:rPr>
          <w:rFonts w:ascii="Arial" w:hAnsi="Arial" w:cs="Arial"/>
          <w:b/>
          <w:sz w:val="20"/>
          <w:szCs w:val="20"/>
          <w:lang w:val="es-MX"/>
        </w:rPr>
        <w:t xml:space="preserve"> </w:t>
      </w:r>
      <w:r w:rsidR="00082503">
        <w:rPr>
          <w:rFonts w:ascii="Arial" w:hAnsi="Arial" w:cs="Arial"/>
          <w:sz w:val="20"/>
          <w:szCs w:val="20"/>
          <w:lang w:val="es-MX"/>
        </w:rPr>
        <w:t>049 Desarrollo de la Comunidad</w:t>
      </w:r>
    </w:p>
    <w:p w:rsidR="00EA31D2" w:rsidRPr="00421A08" w:rsidRDefault="00EA31D2" w:rsidP="00C0377D">
      <w:pPr>
        <w:jc w:val="both"/>
        <w:rPr>
          <w:rFonts w:ascii="Arial" w:hAnsi="Arial" w:cs="Arial"/>
          <w:b/>
          <w:sz w:val="20"/>
          <w:szCs w:val="20"/>
          <w:lang w:val="es-MX"/>
        </w:rPr>
      </w:pPr>
    </w:p>
    <w:p w:rsidR="007A2588" w:rsidRPr="0022673D" w:rsidRDefault="00BE0AA2" w:rsidP="00815D4C">
      <w:pPr>
        <w:jc w:val="both"/>
        <w:rPr>
          <w:rFonts w:ascii="Arial" w:hAnsi="Arial" w:cs="Arial"/>
          <w:b/>
          <w:sz w:val="20"/>
          <w:szCs w:val="20"/>
        </w:rPr>
      </w:pPr>
      <w:r>
        <w:rPr>
          <w:rFonts w:ascii="Arial" w:hAnsi="Arial" w:cs="Arial"/>
          <w:b/>
          <w:bCs/>
          <w:sz w:val="20"/>
          <w:szCs w:val="20"/>
        </w:rPr>
        <w:t>Logros</w:t>
      </w:r>
      <w:r w:rsidR="006B245F" w:rsidRPr="0022673D">
        <w:rPr>
          <w:rFonts w:ascii="Arial" w:hAnsi="Arial" w:cs="Arial"/>
          <w:b/>
          <w:bCs/>
          <w:sz w:val="20"/>
          <w:szCs w:val="20"/>
        </w:rPr>
        <w:t xml:space="preserve"> </w:t>
      </w:r>
      <w:r w:rsidR="005C1005">
        <w:rPr>
          <w:rFonts w:ascii="Arial" w:hAnsi="Arial" w:cs="Arial"/>
          <w:b/>
          <w:bCs/>
          <w:sz w:val="20"/>
          <w:szCs w:val="20"/>
        </w:rPr>
        <w:t>obtenidos</w:t>
      </w:r>
      <w:r w:rsidR="006B245F" w:rsidRPr="0022673D">
        <w:rPr>
          <w:rFonts w:ascii="Arial" w:hAnsi="Arial" w:cs="Arial"/>
          <w:b/>
          <w:bCs/>
          <w:sz w:val="20"/>
          <w:szCs w:val="20"/>
        </w:rPr>
        <w:t>:</w:t>
      </w:r>
    </w:p>
    <w:p w:rsidR="007A2588" w:rsidRDefault="007A2588" w:rsidP="007A2588">
      <w:pPr>
        <w:jc w:val="both"/>
        <w:rPr>
          <w:rFonts w:ascii="Arial" w:hAnsi="Arial" w:cs="Arial"/>
          <w:b/>
          <w:sz w:val="20"/>
          <w:szCs w:val="20"/>
        </w:rPr>
      </w:pPr>
    </w:p>
    <w:p w:rsidR="0004638D" w:rsidRDefault="00E6033C" w:rsidP="00A0647C">
      <w:pPr>
        <w:spacing w:line="360" w:lineRule="auto"/>
        <w:jc w:val="both"/>
        <w:rPr>
          <w:rFonts w:ascii="Arial" w:hAnsi="Arial" w:cs="Arial"/>
          <w:sz w:val="20"/>
          <w:szCs w:val="20"/>
          <w:lang w:val="es-MX"/>
        </w:rPr>
      </w:pPr>
      <w:r w:rsidRPr="00BE0AA2">
        <w:rPr>
          <w:rFonts w:ascii="Arial" w:hAnsi="Arial" w:cs="Arial"/>
          <w:sz w:val="20"/>
          <w:szCs w:val="20"/>
          <w:lang w:val="es-MX"/>
        </w:rPr>
        <w:t xml:space="preserve">Complete </w:t>
      </w:r>
      <w:r w:rsidR="007C4496" w:rsidRPr="00BE0AA2">
        <w:rPr>
          <w:rFonts w:ascii="Arial" w:hAnsi="Arial" w:cs="Arial"/>
          <w:sz w:val="20"/>
          <w:szCs w:val="20"/>
          <w:lang w:val="es-MX"/>
        </w:rPr>
        <w:t>los</w:t>
      </w:r>
      <w:r w:rsidRPr="00BE0AA2">
        <w:rPr>
          <w:rFonts w:ascii="Arial" w:hAnsi="Arial" w:cs="Arial"/>
          <w:sz w:val="20"/>
          <w:szCs w:val="20"/>
          <w:lang w:val="es-MX"/>
        </w:rPr>
        <w:t xml:space="preserve"> siguiente</w:t>
      </w:r>
      <w:r w:rsidR="007C4496" w:rsidRPr="00BE0AA2">
        <w:rPr>
          <w:rFonts w:ascii="Arial" w:hAnsi="Arial" w:cs="Arial"/>
          <w:sz w:val="20"/>
          <w:szCs w:val="20"/>
          <w:lang w:val="es-MX"/>
        </w:rPr>
        <w:t>s</w:t>
      </w:r>
      <w:r w:rsidRPr="00BE0AA2">
        <w:rPr>
          <w:rFonts w:ascii="Arial" w:hAnsi="Arial" w:cs="Arial"/>
          <w:sz w:val="20"/>
          <w:szCs w:val="20"/>
          <w:lang w:val="es-MX"/>
        </w:rPr>
        <w:t xml:space="preserve"> cuadro</w:t>
      </w:r>
      <w:r w:rsidR="007C4496" w:rsidRPr="00BE0AA2">
        <w:rPr>
          <w:rFonts w:ascii="Arial" w:hAnsi="Arial" w:cs="Arial"/>
          <w:sz w:val="20"/>
          <w:szCs w:val="20"/>
          <w:lang w:val="es-MX"/>
        </w:rPr>
        <w:t>s</w:t>
      </w:r>
      <w:r w:rsidRPr="00BE0AA2">
        <w:rPr>
          <w:rFonts w:ascii="Arial" w:hAnsi="Arial" w:cs="Arial"/>
          <w:sz w:val="20"/>
          <w:szCs w:val="20"/>
          <w:lang w:val="es-MX"/>
        </w:rPr>
        <w:t xml:space="preserve"> con </w:t>
      </w:r>
      <w:r w:rsidR="00213E69" w:rsidRPr="00BE0AA2">
        <w:rPr>
          <w:rFonts w:ascii="Arial" w:hAnsi="Arial" w:cs="Arial"/>
          <w:sz w:val="20"/>
          <w:szCs w:val="20"/>
          <w:lang w:val="es-MX"/>
        </w:rPr>
        <w:t>la información de</w:t>
      </w:r>
      <w:r w:rsidR="007C4496" w:rsidRPr="00BE0AA2">
        <w:rPr>
          <w:rFonts w:ascii="Arial" w:hAnsi="Arial" w:cs="Arial"/>
          <w:sz w:val="20"/>
          <w:szCs w:val="20"/>
          <w:lang w:val="es-MX"/>
        </w:rPr>
        <w:t xml:space="preserve"> las </w:t>
      </w:r>
      <w:r w:rsidR="0004638D">
        <w:rPr>
          <w:rFonts w:ascii="Arial" w:hAnsi="Arial" w:cs="Arial"/>
          <w:sz w:val="20"/>
          <w:szCs w:val="20"/>
          <w:lang w:val="es-MX"/>
        </w:rPr>
        <w:t>unidades de medida</w:t>
      </w:r>
      <w:r w:rsidR="007C4496" w:rsidRPr="00BE0AA2">
        <w:rPr>
          <w:rFonts w:ascii="Arial" w:hAnsi="Arial" w:cs="Arial"/>
          <w:sz w:val="20"/>
          <w:szCs w:val="20"/>
          <w:lang w:val="es-MX"/>
        </w:rPr>
        <w:t xml:space="preserve"> y de</w:t>
      </w:r>
      <w:r w:rsidR="00213E69" w:rsidRPr="00BE0AA2">
        <w:rPr>
          <w:rFonts w:ascii="Arial" w:hAnsi="Arial" w:cs="Arial"/>
          <w:sz w:val="20"/>
          <w:szCs w:val="20"/>
          <w:lang w:val="es-MX"/>
        </w:rPr>
        <w:t xml:space="preserve"> </w:t>
      </w:r>
      <w:r w:rsidRPr="00BE0AA2">
        <w:rPr>
          <w:rFonts w:ascii="Arial" w:hAnsi="Arial" w:cs="Arial"/>
          <w:sz w:val="20"/>
          <w:szCs w:val="20"/>
          <w:lang w:val="es-MX"/>
        </w:rPr>
        <w:t>los indicadores</w:t>
      </w:r>
      <w:r w:rsidR="00841F3E" w:rsidRPr="00BE0AA2">
        <w:rPr>
          <w:rFonts w:ascii="Arial" w:hAnsi="Arial" w:cs="Arial"/>
          <w:sz w:val="20"/>
          <w:szCs w:val="20"/>
          <w:lang w:val="es-MX"/>
        </w:rPr>
        <w:t xml:space="preserve"> </w:t>
      </w:r>
      <w:r w:rsidR="0004638D">
        <w:rPr>
          <w:rFonts w:ascii="Arial" w:hAnsi="Arial" w:cs="Arial"/>
          <w:sz w:val="20"/>
          <w:szCs w:val="20"/>
          <w:lang w:val="es-MX"/>
        </w:rPr>
        <w:t xml:space="preserve">de producto </w:t>
      </w:r>
      <w:r w:rsidR="00213E69" w:rsidRPr="00BE0AA2">
        <w:rPr>
          <w:rFonts w:ascii="Arial" w:hAnsi="Arial" w:cs="Arial"/>
          <w:sz w:val="20"/>
          <w:szCs w:val="20"/>
          <w:lang w:val="es-MX"/>
        </w:rPr>
        <w:t xml:space="preserve">del </w:t>
      </w:r>
      <w:r w:rsidR="00BD5F61" w:rsidRPr="00BE0AA2">
        <w:rPr>
          <w:rFonts w:ascii="Arial" w:hAnsi="Arial" w:cs="Arial"/>
          <w:sz w:val="20"/>
          <w:szCs w:val="20"/>
          <w:lang w:val="es-MX"/>
        </w:rPr>
        <w:t>p</w:t>
      </w:r>
      <w:r w:rsidR="00213E69" w:rsidRPr="00BE0AA2">
        <w:rPr>
          <w:rFonts w:ascii="Arial" w:hAnsi="Arial" w:cs="Arial"/>
          <w:sz w:val="20"/>
          <w:szCs w:val="20"/>
          <w:lang w:val="es-MX"/>
        </w:rPr>
        <w:t>rograma</w:t>
      </w:r>
      <w:r w:rsidR="00117EC9" w:rsidRPr="00BE0AA2">
        <w:rPr>
          <w:rFonts w:ascii="Arial" w:hAnsi="Arial" w:cs="Arial"/>
          <w:sz w:val="20"/>
          <w:szCs w:val="20"/>
          <w:lang w:val="es-MX"/>
        </w:rPr>
        <w:t xml:space="preserve"> o </w:t>
      </w:r>
      <w:r w:rsidR="00BD5F61" w:rsidRPr="00BE0AA2">
        <w:rPr>
          <w:rFonts w:ascii="Arial" w:hAnsi="Arial" w:cs="Arial"/>
          <w:sz w:val="20"/>
          <w:szCs w:val="20"/>
          <w:lang w:val="es-MX"/>
        </w:rPr>
        <w:t>s</w:t>
      </w:r>
      <w:r w:rsidR="00117EC9" w:rsidRPr="00BE0AA2">
        <w:rPr>
          <w:rFonts w:ascii="Arial" w:hAnsi="Arial" w:cs="Arial"/>
          <w:sz w:val="20"/>
          <w:szCs w:val="20"/>
          <w:lang w:val="es-MX"/>
        </w:rPr>
        <w:t>ubprograma</w:t>
      </w:r>
      <w:r w:rsidR="00BA24BE" w:rsidRPr="00BE0AA2">
        <w:rPr>
          <w:rFonts w:ascii="Arial" w:hAnsi="Arial" w:cs="Arial"/>
          <w:sz w:val="20"/>
          <w:szCs w:val="20"/>
          <w:lang w:val="es-MX"/>
        </w:rPr>
        <w:t>.</w:t>
      </w:r>
    </w:p>
    <w:p w:rsidR="0004638D" w:rsidRDefault="0004638D" w:rsidP="00A0647C">
      <w:pPr>
        <w:spacing w:line="360" w:lineRule="auto"/>
        <w:jc w:val="both"/>
        <w:rPr>
          <w:rFonts w:ascii="Arial" w:hAnsi="Arial" w:cs="Arial"/>
          <w:sz w:val="20"/>
          <w:szCs w:val="20"/>
          <w:lang w:val="es-MX"/>
        </w:rPr>
      </w:pPr>
    </w:p>
    <w:p w:rsidR="00797DAC" w:rsidRDefault="00A36489" w:rsidP="00A0647C">
      <w:pPr>
        <w:spacing w:line="360" w:lineRule="auto"/>
        <w:jc w:val="both"/>
        <w:rPr>
          <w:rFonts w:ascii="Arial" w:hAnsi="Arial" w:cs="Arial"/>
          <w:sz w:val="20"/>
          <w:szCs w:val="20"/>
          <w:lang w:val="es-MX"/>
        </w:rPr>
      </w:pPr>
      <w:r>
        <w:rPr>
          <w:rFonts w:ascii="Arial" w:hAnsi="Arial" w:cs="Arial"/>
          <w:sz w:val="20"/>
          <w:szCs w:val="20"/>
          <w:lang w:val="es-MX"/>
        </w:rPr>
        <w:t xml:space="preserve">Para el caso del cuadro 2.1 Porcentaje de </w:t>
      </w:r>
      <w:r w:rsidR="002357CB">
        <w:rPr>
          <w:rFonts w:ascii="Arial" w:hAnsi="Arial" w:cs="Arial"/>
          <w:sz w:val="20"/>
          <w:szCs w:val="20"/>
          <w:lang w:val="es-MX"/>
        </w:rPr>
        <w:t>c</w:t>
      </w:r>
      <w:r>
        <w:rPr>
          <w:rFonts w:ascii="Arial" w:hAnsi="Arial" w:cs="Arial"/>
          <w:sz w:val="20"/>
          <w:szCs w:val="20"/>
          <w:lang w:val="es-MX"/>
        </w:rPr>
        <w:t xml:space="preserve">umplimiento de </w:t>
      </w:r>
      <w:r w:rsidR="002357CB">
        <w:rPr>
          <w:rFonts w:ascii="Arial" w:hAnsi="Arial" w:cs="Arial"/>
          <w:sz w:val="20"/>
          <w:szCs w:val="20"/>
          <w:lang w:val="es-MX"/>
        </w:rPr>
        <w:t>m</w:t>
      </w:r>
      <w:r>
        <w:rPr>
          <w:rFonts w:ascii="Arial" w:hAnsi="Arial" w:cs="Arial"/>
          <w:sz w:val="20"/>
          <w:szCs w:val="20"/>
          <w:lang w:val="es-MX"/>
        </w:rPr>
        <w:t xml:space="preserve">etas de </w:t>
      </w:r>
      <w:r w:rsidR="002357CB">
        <w:rPr>
          <w:rFonts w:ascii="Arial" w:hAnsi="Arial" w:cs="Arial"/>
          <w:sz w:val="20"/>
          <w:szCs w:val="20"/>
          <w:lang w:val="es-MX"/>
        </w:rPr>
        <w:t>p</w:t>
      </w:r>
      <w:r>
        <w:rPr>
          <w:rFonts w:ascii="Arial" w:hAnsi="Arial" w:cs="Arial"/>
          <w:sz w:val="20"/>
          <w:szCs w:val="20"/>
          <w:lang w:val="es-MX"/>
        </w:rPr>
        <w:t>roducción, m</w:t>
      </w:r>
      <w:r w:rsidR="001F3078" w:rsidRPr="00BE0AA2">
        <w:rPr>
          <w:rFonts w:ascii="Arial" w:hAnsi="Arial" w:cs="Arial"/>
          <w:sz w:val="20"/>
          <w:szCs w:val="20"/>
          <w:lang w:val="es-MX"/>
        </w:rPr>
        <w:t xml:space="preserve">arque con una </w:t>
      </w:r>
      <w:r w:rsidR="00C254D7">
        <w:rPr>
          <w:rFonts w:ascii="Arial" w:hAnsi="Arial" w:cs="Arial"/>
          <w:sz w:val="20"/>
          <w:szCs w:val="20"/>
          <w:lang w:val="es-MX"/>
        </w:rPr>
        <w:t>“</w:t>
      </w:r>
      <w:r w:rsidR="001F3078" w:rsidRPr="00BE0AA2">
        <w:rPr>
          <w:rFonts w:ascii="Arial" w:hAnsi="Arial" w:cs="Arial"/>
          <w:sz w:val="20"/>
          <w:szCs w:val="20"/>
          <w:lang w:val="es-MX"/>
        </w:rPr>
        <w:t>X</w:t>
      </w:r>
      <w:r w:rsidR="00C254D7">
        <w:rPr>
          <w:rFonts w:ascii="Arial" w:hAnsi="Arial" w:cs="Arial"/>
          <w:sz w:val="20"/>
          <w:szCs w:val="20"/>
          <w:lang w:val="es-MX"/>
        </w:rPr>
        <w:t>”</w:t>
      </w:r>
      <w:r w:rsidR="001F3078" w:rsidRPr="00BE0AA2">
        <w:rPr>
          <w:rFonts w:ascii="Arial" w:hAnsi="Arial" w:cs="Arial"/>
          <w:sz w:val="20"/>
          <w:szCs w:val="20"/>
          <w:lang w:val="es-MX"/>
        </w:rPr>
        <w:t xml:space="preserve"> el rango cualitativo en el cual se ubica el </w:t>
      </w:r>
      <w:r w:rsidR="0066720D" w:rsidRPr="00BE0AA2">
        <w:rPr>
          <w:rFonts w:ascii="Arial" w:hAnsi="Arial" w:cs="Arial"/>
          <w:sz w:val="20"/>
          <w:szCs w:val="20"/>
          <w:lang w:val="es-MX"/>
        </w:rPr>
        <w:t>grado de cumplimiento</w:t>
      </w:r>
      <w:r w:rsidR="00BE0AA2" w:rsidRPr="00BE0AA2">
        <w:rPr>
          <w:rFonts w:ascii="Arial" w:hAnsi="Arial" w:cs="Arial"/>
          <w:sz w:val="20"/>
          <w:szCs w:val="20"/>
          <w:lang w:val="es-MX"/>
        </w:rPr>
        <w:t xml:space="preserve"> de las unidades de medida </w:t>
      </w:r>
      <w:r w:rsidR="00BE0AA2">
        <w:rPr>
          <w:rFonts w:ascii="Arial" w:hAnsi="Arial" w:cs="Arial"/>
          <w:sz w:val="20"/>
          <w:szCs w:val="20"/>
          <w:lang w:val="es-MX"/>
        </w:rPr>
        <w:t xml:space="preserve">de acuerdo con </w:t>
      </w:r>
      <w:r w:rsidR="00624943" w:rsidRPr="00BE0AA2">
        <w:rPr>
          <w:rFonts w:ascii="Arial" w:hAnsi="Arial" w:cs="Arial"/>
          <w:sz w:val="20"/>
          <w:szCs w:val="20"/>
          <w:lang w:val="es-MX"/>
        </w:rPr>
        <w:t>los</w:t>
      </w:r>
      <w:r w:rsidR="001F3078" w:rsidRPr="00BE0AA2">
        <w:rPr>
          <w:rFonts w:ascii="Arial" w:hAnsi="Arial" w:cs="Arial"/>
          <w:sz w:val="20"/>
          <w:szCs w:val="20"/>
          <w:lang w:val="es-MX"/>
        </w:rPr>
        <w:t xml:space="preserve"> siguientes </w:t>
      </w:r>
      <w:r w:rsidR="00624943" w:rsidRPr="00BE0AA2">
        <w:rPr>
          <w:rFonts w:ascii="Arial" w:hAnsi="Arial" w:cs="Arial"/>
          <w:sz w:val="20"/>
          <w:szCs w:val="20"/>
          <w:lang w:val="es-MX"/>
        </w:rPr>
        <w:t>parámetros</w:t>
      </w:r>
      <w:r w:rsidR="001F3078" w:rsidRPr="00BE0AA2">
        <w:rPr>
          <w:rFonts w:ascii="Arial" w:hAnsi="Arial" w:cs="Arial"/>
          <w:sz w:val="20"/>
          <w:szCs w:val="20"/>
          <w:lang w:val="es-MX"/>
        </w:rPr>
        <w:t>:</w:t>
      </w:r>
    </w:p>
    <w:p w:rsidR="00BE0AA2" w:rsidRPr="00BE0AA2" w:rsidRDefault="00BE0AA2" w:rsidP="00A0647C">
      <w:pPr>
        <w:spacing w:line="360" w:lineRule="auto"/>
        <w:jc w:val="both"/>
        <w:rPr>
          <w:rFonts w:ascii="Arial" w:hAnsi="Arial" w:cs="Arial"/>
          <w:sz w:val="20"/>
          <w:szCs w:val="20"/>
          <w:lang w:val="es-MX"/>
        </w:rPr>
      </w:pPr>
    </w:p>
    <w:p w:rsidR="004947FD" w:rsidRDefault="004947FD" w:rsidP="00A0647C">
      <w:pPr>
        <w:spacing w:line="360" w:lineRule="auto"/>
        <w:jc w:val="both"/>
        <w:rPr>
          <w:rFonts w:ascii="Arial" w:hAnsi="Arial" w:cs="Arial"/>
          <w:sz w:val="20"/>
          <w:szCs w:val="20"/>
          <w:lang w:val="es-MX"/>
        </w:rPr>
      </w:pPr>
    </w:p>
    <w:p w:rsidR="001F3078" w:rsidRDefault="00BE0AA2" w:rsidP="00BE0AA2">
      <w:pPr>
        <w:spacing w:line="360" w:lineRule="auto"/>
        <w:jc w:val="center"/>
        <w:rPr>
          <w:rFonts w:ascii="Arial" w:hAnsi="Arial" w:cs="Arial"/>
          <w:sz w:val="20"/>
          <w:szCs w:val="20"/>
          <w:lang w:val="es-MX"/>
        </w:rPr>
      </w:pPr>
      <w:r w:rsidRPr="00BE0AA2">
        <w:rPr>
          <w:noProof/>
          <w:lang w:val="es-CR" w:eastAsia="es-CR"/>
        </w:rPr>
        <w:drawing>
          <wp:inline distT="0" distB="0" distL="0" distR="0">
            <wp:extent cx="2998470" cy="7550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8470" cy="755015"/>
                    </a:xfrm>
                    <a:prstGeom prst="rect">
                      <a:avLst/>
                    </a:prstGeom>
                    <a:noFill/>
                    <a:ln>
                      <a:noFill/>
                    </a:ln>
                  </pic:spPr>
                </pic:pic>
              </a:graphicData>
            </a:graphic>
          </wp:inline>
        </w:drawing>
      </w:r>
    </w:p>
    <w:p w:rsidR="00BE0AA2" w:rsidRDefault="00BE0AA2" w:rsidP="001F3078">
      <w:pPr>
        <w:spacing w:line="360" w:lineRule="auto"/>
        <w:rPr>
          <w:rFonts w:ascii="Arial" w:hAnsi="Arial" w:cs="Arial"/>
          <w:sz w:val="20"/>
          <w:szCs w:val="20"/>
          <w:lang w:val="es-MX"/>
        </w:rPr>
      </w:pPr>
    </w:p>
    <w:p w:rsidR="00300C8C" w:rsidRDefault="00300C8C" w:rsidP="00300C8C">
      <w:pPr>
        <w:spacing w:line="360" w:lineRule="auto"/>
        <w:jc w:val="both"/>
        <w:rPr>
          <w:rFonts w:ascii="Arial" w:hAnsi="Arial" w:cs="Arial"/>
          <w:sz w:val="20"/>
          <w:szCs w:val="20"/>
          <w:lang w:val="es-MX"/>
        </w:rPr>
      </w:pPr>
      <w:r w:rsidRPr="00300C8C">
        <w:rPr>
          <w:rFonts w:ascii="Arial" w:hAnsi="Arial" w:cs="Arial"/>
          <w:b/>
          <w:sz w:val="20"/>
          <w:szCs w:val="20"/>
          <w:lang w:val="es-MX"/>
        </w:rPr>
        <w:t>Nota:</w:t>
      </w:r>
      <w:r>
        <w:rPr>
          <w:rFonts w:ascii="Arial" w:hAnsi="Arial" w:cs="Arial"/>
          <w:sz w:val="20"/>
          <w:szCs w:val="20"/>
          <w:lang w:val="es-MX"/>
        </w:rPr>
        <w:t xml:space="preserve"> Para completar los siguientes cuadros (2.1 y 2.2), en los casos que corresponda, se debe </w:t>
      </w:r>
      <w:r w:rsidRPr="00676780">
        <w:rPr>
          <w:rFonts w:ascii="Arial" w:hAnsi="Arial" w:cs="Arial"/>
          <w:sz w:val="20"/>
          <w:szCs w:val="20"/>
          <w:lang w:val="es-MX"/>
        </w:rPr>
        <w:t xml:space="preserve">redondear para arriba a partir de 0,5%, y para abajo a partir del 0,4%.  Por ejemplo, si el porcentaje da un 70,5% se redondea a 71,0%, si da 70,4%, se redondea a 70,0%.  </w:t>
      </w:r>
    </w:p>
    <w:p w:rsidR="00BE0AA2" w:rsidRDefault="00BE0AA2" w:rsidP="00300C8C">
      <w:pPr>
        <w:spacing w:line="360" w:lineRule="auto"/>
        <w:jc w:val="both"/>
        <w:rPr>
          <w:rFonts w:ascii="Arial" w:hAnsi="Arial" w:cs="Arial"/>
          <w:sz w:val="20"/>
          <w:szCs w:val="20"/>
          <w:lang w:val="es-MX"/>
        </w:rPr>
      </w:pPr>
    </w:p>
    <w:p w:rsidR="00BE0AA2" w:rsidRDefault="00BE0AA2" w:rsidP="001F3078">
      <w:pPr>
        <w:spacing w:line="360" w:lineRule="auto"/>
        <w:rPr>
          <w:rFonts w:ascii="Arial" w:hAnsi="Arial" w:cs="Arial"/>
          <w:sz w:val="20"/>
          <w:szCs w:val="20"/>
          <w:lang w:val="es-MX"/>
        </w:rPr>
      </w:pPr>
    </w:p>
    <w:p w:rsidR="00BE0AA2" w:rsidRDefault="00BE0AA2" w:rsidP="001F3078">
      <w:pPr>
        <w:spacing w:line="360" w:lineRule="auto"/>
        <w:rPr>
          <w:rFonts w:ascii="Arial" w:hAnsi="Arial" w:cs="Arial"/>
          <w:sz w:val="20"/>
          <w:szCs w:val="20"/>
          <w:lang w:val="es-MX"/>
        </w:rPr>
      </w:pPr>
    </w:p>
    <w:p w:rsidR="00BE0AA2" w:rsidRDefault="00BE0AA2" w:rsidP="001F3078">
      <w:pPr>
        <w:spacing w:line="360" w:lineRule="auto"/>
        <w:rPr>
          <w:rFonts w:ascii="Arial" w:hAnsi="Arial" w:cs="Arial"/>
          <w:sz w:val="20"/>
          <w:szCs w:val="20"/>
          <w:lang w:val="es-MX"/>
        </w:rPr>
      </w:pPr>
    </w:p>
    <w:p w:rsidR="00BE0AA2" w:rsidRDefault="00BE0AA2" w:rsidP="001F3078">
      <w:pPr>
        <w:spacing w:line="360" w:lineRule="auto"/>
        <w:rPr>
          <w:rFonts w:ascii="Arial" w:hAnsi="Arial" w:cs="Arial"/>
          <w:sz w:val="20"/>
          <w:szCs w:val="20"/>
          <w:lang w:val="es-MX"/>
        </w:rPr>
      </w:pPr>
    </w:p>
    <w:p w:rsidR="00BE0AA2" w:rsidRDefault="00BE0AA2" w:rsidP="001F3078">
      <w:pPr>
        <w:spacing w:line="360" w:lineRule="auto"/>
        <w:rPr>
          <w:rFonts w:ascii="Arial" w:hAnsi="Arial" w:cs="Arial"/>
          <w:sz w:val="20"/>
          <w:szCs w:val="20"/>
          <w:lang w:val="es-MX"/>
        </w:rPr>
      </w:pPr>
    </w:p>
    <w:p w:rsidR="00BE0AA2" w:rsidRDefault="00BE0AA2" w:rsidP="001F3078">
      <w:pPr>
        <w:spacing w:line="360" w:lineRule="auto"/>
        <w:rPr>
          <w:rFonts w:ascii="Arial" w:hAnsi="Arial" w:cs="Arial"/>
          <w:sz w:val="20"/>
          <w:szCs w:val="20"/>
          <w:lang w:val="es-MX"/>
        </w:rPr>
      </w:pPr>
    </w:p>
    <w:bookmarkStart w:id="7" w:name="_MON_1523968150"/>
    <w:bookmarkEnd w:id="7"/>
    <w:p w:rsidR="00E6033C" w:rsidRDefault="00D07F2C" w:rsidP="00C65BF2">
      <w:pPr>
        <w:spacing w:line="360" w:lineRule="auto"/>
        <w:rPr>
          <w:rFonts w:ascii="Arial" w:hAnsi="Arial" w:cs="Arial"/>
          <w:sz w:val="20"/>
          <w:szCs w:val="20"/>
          <w:lang w:val="es-MX"/>
        </w:rPr>
      </w:pPr>
      <w:r>
        <w:rPr>
          <w:rFonts w:ascii="Arial" w:hAnsi="Arial" w:cs="Arial"/>
          <w:sz w:val="20"/>
          <w:szCs w:val="20"/>
          <w:lang w:val="es-MX"/>
        </w:rPr>
        <w:object w:dxaOrig="7421" w:dyaOrig="5347">
          <v:shape id="_x0000_i1028" type="#_x0000_t75" style="width:430.65pt;height:267.6pt" o:ole="">
            <v:imagedata r:id="rId15" o:title=""/>
          </v:shape>
          <o:OLEObject Type="Embed" ProgID="Excel.Sheet.12" ShapeID="_x0000_i1028" DrawAspect="Content" ObjectID="_1578210054" r:id="rId16"/>
        </w:object>
      </w:r>
    </w:p>
    <w:p w:rsidR="0030586B" w:rsidRDefault="0030586B" w:rsidP="006F29D1">
      <w:pPr>
        <w:spacing w:line="360" w:lineRule="auto"/>
        <w:jc w:val="both"/>
        <w:rPr>
          <w:rFonts w:ascii="Arial" w:hAnsi="Arial" w:cs="Arial"/>
          <w:sz w:val="20"/>
          <w:szCs w:val="20"/>
          <w:lang w:val="es-MX"/>
        </w:rPr>
      </w:pPr>
    </w:p>
    <w:p w:rsidR="00BF1669" w:rsidRPr="00D07F2C" w:rsidRDefault="00BF1669" w:rsidP="00BF1669">
      <w:pPr>
        <w:spacing w:line="360" w:lineRule="auto"/>
        <w:jc w:val="both"/>
        <w:rPr>
          <w:rFonts w:ascii="Arial" w:hAnsi="Arial" w:cs="Arial"/>
          <w:b/>
          <w:bCs/>
          <w:sz w:val="20"/>
          <w:szCs w:val="20"/>
        </w:rPr>
      </w:pPr>
      <w:r w:rsidRPr="00D07F2C">
        <w:rPr>
          <w:rFonts w:ascii="Arial" w:hAnsi="Arial" w:cs="Arial"/>
          <w:b/>
          <w:sz w:val="20"/>
          <w:szCs w:val="20"/>
          <w:lang w:val="es-MX"/>
        </w:rPr>
        <w:t xml:space="preserve">De acuerdo con el cuadro anterior, </w:t>
      </w:r>
      <w:r w:rsidR="00DB60FF" w:rsidRPr="00D07F2C">
        <w:rPr>
          <w:rFonts w:ascii="Arial" w:hAnsi="Arial" w:cs="Arial"/>
          <w:b/>
          <w:sz w:val="20"/>
          <w:szCs w:val="20"/>
          <w:lang w:val="es-MX"/>
        </w:rPr>
        <w:t xml:space="preserve">para cada unidad de medida </w:t>
      </w:r>
      <w:r w:rsidRPr="00D07F2C">
        <w:rPr>
          <w:rFonts w:ascii="Arial" w:hAnsi="Arial" w:cs="Arial"/>
          <w:b/>
          <w:sz w:val="20"/>
          <w:szCs w:val="20"/>
          <w:lang w:val="es-MX"/>
        </w:rPr>
        <w:t xml:space="preserve">indicar en los casos de parcialmente cumplido y no cumplido, las razones </w:t>
      </w:r>
      <w:r w:rsidRPr="00D07F2C">
        <w:rPr>
          <w:rFonts w:ascii="Arial" w:hAnsi="Arial" w:cs="Arial"/>
          <w:b/>
          <w:bCs/>
          <w:sz w:val="20"/>
          <w:szCs w:val="20"/>
        </w:rPr>
        <w:t>que llevaron a ubicarse en determinado nivel</w:t>
      </w:r>
      <w:r w:rsidR="008D25F4" w:rsidRPr="00D07F2C">
        <w:rPr>
          <w:rFonts w:ascii="Arial" w:hAnsi="Arial" w:cs="Arial"/>
          <w:b/>
          <w:bCs/>
          <w:sz w:val="20"/>
          <w:szCs w:val="20"/>
        </w:rPr>
        <w:t xml:space="preserve"> </w:t>
      </w:r>
      <w:r w:rsidR="008D25F4" w:rsidRPr="00D07F2C">
        <w:rPr>
          <w:rFonts w:ascii="Arial" w:hAnsi="Arial" w:cs="Arial"/>
          <w:b/>
          <w:bCs/>
          <w:sz w:val="20"/>
          <w:szCs w:val="20"/>
          <w:u w:val="single"/>
        </w:rPr>
        <w:t>y</w:t>
      </w:r>
      <w:r w:rsidR="008D25F4" w:rsidRPr="00D07F2C">
        <w:rPr>
          <w:rFonts w:ascii="Arial" w:hAnsi="Arial" w:cs="Arial"/>
          <w:b/>
          <w:bCs/>
          <w:sz w:val="20"/>
          <w:szCs w:val="20"/>
        </w:rPr>
        <w:t xml:space="preserve"> las </w:t>
      </w:r>
      <w:r w:rsidRPr="00D07F2C">
        <w:rPr>
          <w:rFonts w:ascii="Arial" w:hAnsi="Arial" w:cs="Arial"/>
          <w:b/>
          <w:bCs/>
          <w:sz w:val="20"/>
          <w:szCs w:val="20"/>
        </w:rPr>
        <w:t>acciones correctivas que desarrollará</w:t>
      </w:r>
      <w:r w:rsidR="002357CB" w:rsidRPr="00D07F2C">
        <w:rPr>
          <w:rFonts w:ascii="Arial" w:hAnsi="Arial" w:cs="Arial"/>
          <w:b/>
          <w:bCs/>
          <w:sz w:val="20"/>
          <w:szCs w:val="20"/>
        </w:rPr>
        <w:t xml:space="preserve"> el programa o subprograma</w:t>
      </w:r>
      <w:r w:rsidRPr="00D07F2C">
        <w:rPr>
          <w:rFonts w:ascii="Arial" w:hAnsi="Arial" w:cs="Arial"/>
          <w:b/>
          <w:bCs/>
          <w:sz w:val="20"/>
          <w:szCs w:val="20"/>
        </w:rPr>
        <w:t>, así como el nombre de la unidad o departamento que las llevará a cabo y dará seguimiento para efectuar una mejor gestión.</w:t>
      </w:r>
    </w:p>
    <w:p w:rsidR="00CC21AA" w:rsidRDefault="00CC21AA" w:rsidP="00BF1669">
      <w:pPr>
        <w:spacing w:line="360" w:lineRule="auto"/>
        <w:jc w:val="both"/>
        <w:rPr>
          <w:rFonts w:ascii="Arial" w:hAnsi="Arial" w:cs="Arial"/>
          <w:bCs/>
          <w:sz w:val="20"/>
          <w:szCs w:val="20"/>
        </w:rPr>
      </w:pPr>
    </w:p>
    <w:p w:rsidR="0019043F" w:rsidRDefault="00DA7A50" w:rsidP="00BF1669">
      <w:pPr>
        <w:spacing w:line="360" w:lineRule="auto"/>
        <w:jc w:val="both"/>
        <w:rPr>
          <w:rFonts w:ascii="Arial" w:hAnsi="Arial" w:cs="Arial"/>
          <w:bCs/>
          <w:sz w:val="20"/>
          <w:szCs w:val="20"/>
        </w:rPr>
      </w:pPr>
      <w:r>
        <w:rPr>
          <w:rFonts w:ascii="Arial" w:hAnsi="Arial" w:cs="Arial"/>
          <w:bCs/>
          <w:sz w:val="20"/>
          <w:szCs w:val="20"/>
        </w:rPr>
        <w:t xml:space="preserve">La meta con un resultado de 93% se refiere al porcentaje de proyectos de desarrollo liquidados. Cabe mencionar que el logro alcanzado es casi la meta establecida el año pasado (75%). Los proyectos siempre conllevan el riesgo de no ser liquidados en el plazo establecido, sea por retrasos de la organización comunal en la presentación de documentos que acrediten el uso pleno de los recursos en el proyecto en cuestión, o en los subsanes que deben corregir, una vez que </w:t>
      </w:r>
      <w:proofErr w:type="spellStart"/>
      <w:r>
        <w:rPr>
          <w:rFonts w:ascii="Arial" w:hAnsi="Arial" w:cs="Arial"/>
          <w:bCs/>
          <w:sz w:val="20"/>
          <w:szCs w:val="20"/>
        </w:rPr>
        <w:t>Dinadeco</w:t>
      </w:r>
      <w:proofErr w:type="spellEnd"/>
      <w:r>
        <w:rPr>
          <w:rFonts w:ascii="Arial" w:hAnsi="Arial" w:cs="Arial"/>
          <w:bCs/>
          <w:sz w:val="20"/>
          <w:szCs w:val="20"/>
        </w:rPr>
        <w:t xml:space="preserve"> ha analizado la documentación entregada, entre otras circunstancias. La Dirección Técnica Operativa tiene la responsabilidad de mantener un seguimiento a las organizaciones de desarrollo comunal, para impulsar la liquidación oportuna de los proyectos, entendiendo el año establecido como un tope de plazo, no como una base a partir de la cual se presenta la liquidación. El compromiso se mantiene y se refuerza en los planes de trabajo de las dependencias vinculadas en la liquidación oportuna, como lo son las oficinas regionales, el </w:t>
      </w:r>
      <w:r>
        <w:rPr>
          <w:rFonts w:ascii="Arial" w:hAnsi="Arial" w:cs="Arial"/>
          <w:bCs/>
          <w:sz w:val="20"/>
          <w:szCs w:val="20"/>
        </w:rPr>
        <w:lastRenderedPageBreak/>
        <w:t xml:space="preserve">departamento de Financiamiento Comunitario </w:t>
      </w:r>
      <w:r w:rsidR="0019043F">
        <w:rPr>
          <w:rFonts w:ascii="Arial" w:hAnsi="Arial" w:cs="Arial"/>
          <w:bCs/>
          <w:sz w:val="20"/>
          <w:szCs w:val="20"/>
        </w:rPr>
        <w:t>y la propia jefatura de la Dirección Técnica Operativa.</w:t>
      </w:r>
    </w:p>
    <w:p w:rsidR="0019043F" w:rsidRDefault="0019043F" w:rsidP="00BF1669">
      <w:pPr>
        <w:spacing w:line="360" w:lineRule="auto"/>
        <w:jc w:val="both"/>
        <w:rPr>
          <w:rFonts w:ascii="Arial" w:hAnsi="Arial" w:cs="Arial"/>
          <w:bCs/>
          <w:sz w:val="20"/>
          <w:szCs w:val="20"/>
        </w:rPr>
      </w:pPr>
    </w:p>
    <w:p w:rsidR="00D25DDB" w:rsidRDefault="0019043F" w:rsidP="00BF1669">
      <w:pPr>
        <w:spacing w:line="360" w:lineRule="auto"/>
        <w:jc w:val="both"/>
        <w:rPr>
          <w:rFonts w:ascii="Arial" w:hAnsi="Arial" w:cs="Arial"/>
          <w:bCs/>
          <w:sz w:val="20"/>
          <w:szCs w:val="20"/>
        </w:rPr>
      </w:pPr>
      <w:r>
        <w:rPr>
          <w:rFonts w:ascii="Arial" w:hAnsi="Arial" w:cs="Arial"/>
          <w:bCs/>
          <w:sz w:val="20"/>
          <w:szCs w:val="20"/>
        </w:rPr>
        <w:t xml:space="preserve">En lo que respecta al porcentaje de 31%, corresponde a la meta vinculada a capacitar a representantes de uniones cantonales, zonales y federaciones, en materia de seguridad comunitaria. Al respecto, </w:t>
      </w:r>
      <w:r w:rsidR="00076112">
        <w:rPr>
          <w:rFonts w:ascii="Arial" w:hAnsi="Arial" w:cs="Arial"/>
          <w:bCs/>
          <w:sz w:val="20"/>
          <w:szCs w:val="20"/>
        </w:rPr>
        <w:t>en j</w:t>
      </w:r>
      <w:r w:rsidR="00076112" w:rsidRPr="00076112">
        <w:rPr>
          <w:rFonts w:ascii="Arial" w:hAnsi="Arial" w:cs="Arial"/>
          <w:bCs/>
          <w:sz w:val="20"/>
          <w:szCs w:val="20"/>
        </w:rPr>
        <w:t xml:space="preserve">ulio </w:t>
      </w:r>
      <w:r w:rsidR="00076112">
        <w:rPr>
          <w:rFonts w:ascii="Arial" w:hAnsi="Arial" w:cs="Arial"/>
          <w:bCs/>
          <w:sz w:val="20"/>
          <w:szCs w:val="20"/>
        </w:rPr>
        <w:t xml:space="preserve">de 2017, </w:t>
      </w:r>
      <w:r w:rsidR="00076112" w:rsidRPr="00076112">
        <w:rPr>
          <w:rFonts w:ascii="Arial" w:hAnsi="Arial" w:cs="Arial"/>
          <w:bCs/>
          <w:sz w:val="20"/>
          <w:szCs w:val="20"/>
        </w:rPr>
        <w:t xml:space="preserve">se realizaron dos actividades, para las cuales, según datos en la Dirección Técnica Operativa, habían confirmado 45 participantes, pero al final solo llegaron 19, de 7 organizaciones de grado superior. Se hizo una tercera </w:t>
      </w:r>
      <w:r w:rsidR="00076112">
        <w:rPr>
          <w:rFonts w:ascii="Arial" w:hAnsi="Arial" w:cs="Arial"/>
          <w:bCs/>
          <w:sz w:val="20"/>
          <w:szCs w:val="20"/>
        </w:rPr>
        <w:t xml:space="preserve">actividad </w:t>
      </w:r>
      <w:r w:rsidR="00076112" w:rsidRPr="00076112">
        <w:rPr>
          <w:rFonts w:ascii="Arial" w:hAnsi="Arial" w:cs="Arial"/>
          <w:bCs/>
          <w:sz w:val="20"/>
          <w:szCs w:val="20"/>
        </w:rPr>
        <w:t>con la Unión Cantonal de Guatuso, con 22 participantes.</w:t>
      </w:r>
      <w:r w:rsidR="00076112">
        <w:rPr>
          <w:rFonts w:ascii="Arial" w:hAnsi="Arial" w:cs="Arial"/>
          <w:bCs/>
          <w:sz w:val="20"/>
          <w:szCs w:val="20"/>
        </w:rPr>
        <w:t xml:space="preserve"> Con respecto a las dos primeras actividades, se considera que pudo influir la dificultad de desplazamiento de las personas participantes, desde sus lugares de origen, al lugar donde se reservó el espacio. Sumado a ello, el hacerlo entre semana, pudo también afectar la asistencia definitiva. Si bien la tercera actividad fue también entre semana, facilitó el hecho de realizarse en la propia comunidad. </w:t>
      </w:r>
      <w:r w:rsidR="00076112" w:rsidRPr="00076112">
        <w:rPr>
          <w:rFonts w:ascii="Arial" w:hAnsi="Arial" w:cs="Arial"/>
          <w:bCs/>
          <w:sz w:val="20"/>
          <w:szCs w:val="20"/>
        </w:rPr>
        <w:t xml:space="preserve"> Para el 2018 se buscará la colaboración de las organizaciones comunales, para facilitar espacio y alimentación, ya que el Presupuesto aprobado por la Asamblea Legislativa, no aprobó fondos para estas actividades. Dado que el tema no es una especialización de </w:t>
      </w:r>
      <w:proofErr w:type="spellStart"/>
      <w:r w:rsidR="00076112" w:rsidRPr="00076112">
        <w:rPr>
          <w:rFonts w:ascii="Arial" w:hAnsi="Arial" w:cs="Arial"/>
          <w:bCs/>
          <w:sz w:val="20"/>
          <w:szCs w:val="20"/>
        </w:rPr>
        <w:t>Dinadeco</w:t>
      </w:r>
      <w:proofErr w:type="spellEnd"/>
      <w:r w:rsidR="00076112" w:rsidRPr="00076112">
        <w:rPr>
          <w:rFonts w:ascii="Arial" w:hAnsi="Arial" w:cs="Arial"/>
          <w:bCs/>
          <w:sz w:val="20"/>
          <w:szCs w:val="20"/>
        </w:rPr>
        <w:t xml:space="preserve">, se debe recurrir a instancias del Ministerio de Justicia o del Ministerio de Seguridad Pública, para la impartición de las capacitaciones. </w:t>
      </w:r>
      <w:r w:rsidR="00DA7A50">
        <w:rPr>
          <w:rFonts w:ascii="Arial" w:hAnsi="Arial" w:cs="Arial"/>
          <w:bCs/>
          <w:sz w:val="20"/>
          <w:szCs w:val="20"/>
        </w:rPr>
        <w:t xml:space="preserve"> </w:t>
      </w:r>
    </w:p>
    <w:p w:rsidR="00D25DDB" w:rsidRDefault="00D25DDB" w:rsidP="00BF1669">
      <w:pPr>
        <w:spacing w:line="360" w:lineRule="auto"/>
        <w:jc w:val="both"/>
        <w:rPr>
          <w:rFonts w:ascii="Arial" w:hAnsi="Arial" w:cs="Arial"/>
          <w:bCs/>
          <w:sz w:val="20"/>
          <w:szCs w:val="20"/>
        </w:rPr>
      </w:pPr>
    </w:p>
    <w:p w:rsidR="000E78A6" w:rsidRPr="00D07F2C" w:rsidRDefault="000E78A6" w:rsidP="000E78A6">
      <w:pPr>
        <w:spacing w:line="360" w:lineRule="auto"/>
        <w:jc w:val="both"/>
        <w:rPr>
          <w:rFonts w:ascii="Arial" w:hAnsi="Arial" w:cs="Arial"/>
          <w:b/>
          <w:bCs/>
          <w:sz w:val="20"/>
          <w:szCs w:val="20"/>
        </w:rPr>
      </w:pPr>
      <w:r w:rsidRPr="00D07F2C">
        <w:rPr>
          <w:rFonts w:ascii="Arial" w:hAnsi="Arial" w:cs="Arial"/>
          <w:b/>
          <w:bCs/>
          <w:sz w:val="20"/>
          <w:szCs w:val="20"/>
          <w:lang w:val="es-MX"/>
        </w:rPr>
        <w:t>Con base en la siguiente tabla complete la columna de efectividad del cuadro 2.2</w:t>
      </w:r>
      <w:r w:rsidR="005B6083" w:rsidRPr="00D07F2C">
        <w:rPr>
          <w:rFonts w:ascii="Arial" w:hAnsi="Arial" w:cs="Arial"/>
          <w:b/>
          <w:bCs/>
          <w:sz w:val="20"/>
          <w:szCs w:val="20"/>
          <w:lang w:val="es-MX"/>
        </w:rPr>
        <w:t xml:space="preserve"> “Cumplimiento de indicadores de producto, estimación de recursos asociados y efectividad </w:t>
      </w:r>
      <w:r w:rsidRPr="00D07F2C">
        <w:rPr>
          <w:rFonts w:ascii="Arial" w:hAnsi="Arial" w:cs="Arial"/>
          <w:b/>
          <w:bCs/>
          <w:sz w:val="20"/>
          <w:szCs w:val="20"/>
          <w:lang w:val="es-MX"/>
        </w:rPr>
        <w:t xml:space="preserve"> de </w:t>
      </w:r>
      <w:r w:rsidRPr="00D07F2C">
        <w:rPr>
          <w:rFonts w:ascii="Arial" w:hAnsi="Arial" w:cs="Arial"/>
          <w:b/>
          <w:sz w:val="20"/>
          <w:szCs w:val="20"/>
          <w:lang w:val="es-CR"/>
        </w:rPr>
        <w:t>los indicadores de producto</w:t>
      </w:r>
      <w:r w:rsidR="005B6083" w:rsidRPr="00D07F2C">
        <w:rPr>
          <w:rFonts w:ascii="Arial" w:hAnsi="Arial" w:cs="Arial"/>
          <w:b/>
          <w:sz w:val="20"/>
          <w:szCs w:val="20"/>
          <w:lang w:val="es-CR"/>
        </w:rPr>
        <w:t>”</w:t>
      </w:r>
      <w:r w:rsidRPr="00D07F2C">
        <w:rPr>
          <w:rFonts w:ascii="Arial" w:hAnsi="Arial" w:cs="Arial"/>
          <w:b/>
          <w:sz w:val="20"/>
          <w:szCs w:val="20"/>
          <w:lang w:val="es-CR"/>
        </w:rPr>
        <w:t xml:space="preserve"> y además</w:t>
      </w:r>
      <w:r w:rsidR="00DB60FF" w:rsidRPr="00D07F2C">
        <w:rPr>
          <w:rFonts w:ascii="Arial" w:hAnsi="Arial" w:cs="Arial"/>
          <w:b/>
          <w:sz w:val="20"/>
          <w:szCs w:val="20"/>
          <w:lang w:val="es-CR"/>
        </w:rPr>
        <w:t>,</w:t>
      </w:r>
      <w:r w:rsidRPr="00D07F2C">
        <w:rPr>
          <w:rFonts w:ascii="Arial" w:hAnsi="Arial" w:cs="Arial"/>
          <w:b/>
          <w:sz w:val="20"/>
          <w:szCs w:val="20"/>
          <w:lang w:val="es-CR"/>
        </w:rPr>
        <w:t xml:space="preserve"> </w:t>
      </w:r>
      <w:r w:rsidRPr="00D07F2C">
        <w:rPr>
          <w:rFonts w:ascii="Arial" w:hAnsi="Arial" w:cs="Arial"/>
          <w:b/>
          <w:bCs/>
          <w:sz w:val="20"/>
          <w:szCs w:val="20"/>
        </w:rPr>
        <w:t>realice un análisis sobre los resultados obtenidos en relación con la efectividad en el cumplimiento de los indicadores de producto y la ejecución de los recursos, destacando las acciones llevadas a cabo para ubicarse en determinado nivel de efectividad</w:t>
      </w:r>
      <w:r w:rsidR="00A4644B" w:rsidRPr="00D07F2C">
        <w:rPr>
          <w:rFonts w:ascii="Arial" w:hAnsi="Arial" w:cs="Arial"/>
          <w:b/>
          <w:bCs/>
          <w:sz w:val="20"/>
          <w:szCs w:val="20"/>
        </w:rPr>
        <w:t xml:space="preserve"> (efectivo, parcialmente efectivo y no efectivo)</w:t>
      </w:r>
      <w:r w:rsidRPr="00D07F2C">
        <w:rPr>
          <w:rFonts w:ascii="Arial" w:hAnsi="Arial" w:cs="Arial"/>
          <w:b/>
          <w:bCs/>
          <w:sz w:val="20"/>
          <w:szCs w:val="20"/>
        </w:rPr>
        <w:t>, o en su defecto, las acciones correctivas que desarrollará, así como el nombre de la unidad o departamento que las ejecutará y dará seguimiento para efectuar una mejor gestión.</w:t>
      </w:r>
    </w:p>
    <w:p w:rsidR="000E78A6" w:rsidRDefault="000E78A6" w:rsidP="000E78A6">
      <w:pPr>
        <w:pStyle w:val="Textoindependiente"/>
        <w:spacing w:line="360" w:lineRule="auto"/>
        <w:jc w:val="both"/>
        <w:outlineLvl w:val="0"/>
        <w:rPr>
          <w:rFonts w:ascii="Arial" w:hAnsi="Arial" w:cs="Arial"/>
          <w:sz w:val="20"/>
          <w:szCs w:val="20"/>
        </w:rPr>
      </w:pPr>
    </w:p>
    <w:p w:rsidR="000A55FE" w:rsidRPr="005B6083" w:rsidRDefault="000A55FE" w:rsidP="009C16DC">
      <w:pPr>
        <w:pStyle w:val="Textoindependiente"/>
        <w:spacing w:line="360" w:lineRule="auto"/>
        <w:jc w:val="center"/>
        <w:outlineLvl w:val="0"/>
        <w:rPr>
          <w:rFonts w:ascii="Arial" w:hAnsi="Arial" w:cs="Arial"/>
          <w:sz w:val="20"/>
          <w:szCs w:val="20"/>
        </w:rPr>
      </w:pPr>
    </w:p>
    <w:bookmarkStart w:id="8" w:name="_MON_1571215119"/>
    <w:bookmarkEnd w:id="8"/>
    <w:p w:rsidR="00436FF5" w:rsidRPr="00436FF5" w:rsidRDefault="00EC45D9" w:rsidP="000E78A6">
      <w:pPr>
        <w:pStyle w:val="Textoindependiente"/>
        <w:spacing w:line="360" w:lineRule="auto"/>
        <w:jc w:val="center"/>
        <w:outlineLvl w:val="0"/>
      </w:pPr>
      <w:r>
        <w:object w:dxaOrig="7370" w:dyaOrig="3417">
          <v:shape id="_x0000_i1029" type="#_x0000_t75" style="width:370.2pt;height:171.15pt" o:ole="">
            <v:imagedata r:id="rId17" o:title=""/>
          </v:shape>
          <o:OLEObject Type="Embed" ProgID="Excel.Sheet.12" ShapeID="_x0000_i1029" DrawAspect="Content" ObjectID="_1578210055" r:id="rId18"/>
        </w:object>
      </w:r>
    </w:p>
    <w:p w:rsidR="00436FF5" w:rsidRDefault="00436FF5" w:rsidP="000E78A6">
      <w:pPr>
        <w:pStyle w:val="Textoindependiente"/>
        <w:spacing w:line="360" w:lineRule="auto"/>
        <w:jc w:val="center"/>
        <w:outlineLvl w:val="0"/>
        <w:rPr>
          <w:lang w:val="es-CR"/>
        </w:rPr>
      </w:pPr>
    </w:p>
    <w:p w:rsidR="000A55FE" w:rsidRPr="000557FA" w:rsidRDefault="000A55FE" w:rsidP="000A55FE">
      <w:pPr>
        <w:pStyle w:val="Textoindependiente"/>
        <w:spacing w:line="360" w:lineRule="auto"/>
        <w:jc w:val="both"/>
        <w:outlineLvl w:val="0"/>
        <w:rPr>
          <w:rFonts w:ascii="Arial" w:hAnsi="Arial" w:cs="Arial"/>
          <w:sz w:val="20"/>
          <w:szCs w:val="20"/>
          <w:lang w:val="es-CR"/>
        </w:rPr>
      </w:pPr>
      <w:r>
        <w:rPr>
          <w:rFonts w:ascii="Arial" w:hAnsi="Arial" w:cs="Arial"/>
          <w:sz w:val="20"/>
          <w:szCs w:val="20"/>
          <w:lang w:val="es-CR"/>
        </w:rPr>
        <w:t>A l</w:t>
      </w:r>
      <w:r w:rsidRPr="00AE3522">
        <w:rPr>
          <w:rFonts w:ascii="Arial" w:hAnsi="Arial" w:cs="Arial"/>
          <w:sz w:val="20"/>
          <w:szCs w:val="20"/>
          <w:lang w:val="es-CR"/>
        </w:rPr>
        <w:t xml:space="preserve">os centros de gestión que </w:t>
      </w:r>
      <w:r w:rsidRPr="00AE3522">
        <w:rPr>
          <w:rFonts w:ascii="Arial" w:hAnsi="Arial" w:cs="Arial"/>
          <w:b/>
          <w:sz w:val="20"/>
          <w:szCs w:val="20"/>
          <w:u w:val="single"/>
          <w:lang w:val="es-CR"/>
        </w:rPr>
        <w:t>no suministren</w:t>
      </w:r>
      <w:r w:rsidRPr="00AE3522">
        <w:rPr>
          <w:rFonts w:ascii="Arial" w:hAnsi="Arial" w:cs="Arial"/>
          <w:sz w:val="20"/>
          <w:szCs w:val="20"/>
          <w:lang w:val="es-CR"/>
        </w:rPr>
        <w:t xml:space="preserve"> información sobre alguno de los siguientes aspectos: porcentaje </w:t>
      </w:r>
      <w:r>
        <w:rPr>
          <w:rFonts w:ascii="Arial" w:hAnsi="Arial" w:cs="Arial"/>
          <w:sz w:val="20"/>
          <w:szCs w:val="20"/>
          <w:lang w:val="es-CR"/>
        </w:rPr>
        <w:t>alcanzado</w:t>
      </w:r>
      <w:r w:rsidRPr="00AE3522">
        <w:rPr>
          <w:rFonts w:ascii="Arial" w:hAnsi="Arial" w:cs="Arial"/>
          <w:sz w:val="20"/>
          <w:szCs w:val="20"/>
          <w:lang w:val="es-CR"/>
        </w:rPr>
        <w:t>, recursos financieros</w:t>
      </w:r>
      <w:r>
        <w:rPr>
          <w:rFonts w:ascii="Arial" w:hAnsi="Arial" w:cs="Arial"/>
          <w:sz w:val="20"/>
          <w:szCs w:val="20"/>
          <w:lang w:val="es-CR"/>
        </w:rPr>
        <w:t xml:space="preserve"> programados y ejecutados</w:t>
      </w:r>
      <w:r w:rsidRPr="00AE3522">
        <w:rPr>
          <w:rFonts w:ascii="Arial" w:hAnsi="Arial" w:cs="Arial"/>
          <w:sz w:val="20"/>
          <w:szCs w:val="20"/>
          <w:lang w:val="es-CR"/>
        </w:rPr>
        <w:t xml:space="preserve"> de uno o más indicadores, </w:t>
      </w:r>
      <w:r>
        <w:rPr>
          <w:rFonts w:ascii="Arial" w:hAnsi="Arial" w:cs="Arial"/>
          <w:sz w:val="20"/>
          <w:szCs w:val="20"/>
          <w:lang w:val="es-CR"/>
        </w:rPr>
        <w:t>se les</w:t>
      </w:r>
      <w:r w:rsidRPr="00AE3522">
        <w:rPr>
          <w:rFonts w:ascii="Arial" w:hAnsi="Arial" w:cs="Arial"/>
          <w:sz w:val="20"/>
          <w:szCs w:val="20"/>
          <w:lang w:val="es-CR"/>
        </w:rPr>
        <w:t xml:space="preserve"> emitirá una disposición al respecto dado el incumplimiento presentado</w:t>
      </w:r>
      <w:r w:rsidR="00322EEB">
        <w:rPr>
          <w:rFonts w:ascii="Arial" w:hAnsi="Arial" w:cs="Arial"/>
          <w:sz w:val="20"/>
          <w:szCs w:val="20"/>
          <w:lang w:val="es-CR"/>
        </w:rPr>
        <w:t xml:space="preserve"> y se clasificará como “No Efectivo”</w:t>
      </w:r>
      <w:r w:rsidRPr="00AE3522">
        <w:rPr>
          <w:rFonts w:ascii="Arial" w:hAnsi="Arial" w:cs="Arial"/>
          <w:sz w:val="20"/>
          <w:szCs w:val="20"/>
          <w:lang w:val="es-CR"/>
        </w:rPr>
        <w:t>.</w:t>
      </w:r>
      <w:r w:rsidRPr="000557FA">
        <w:rPr>
          <w:rFonts w:ascii="Arial" w:hAnsi="Arial" w:cs="Arial"/>
          <w:sz w:val="20"/>
          <w:szCs w:val="20"/>
          <w:lang w:val="es-CR"/>
        </w:rPr>
        <w:t xml:space="preserve"> </w:t>
      </w:r>
    </w:p>
    <w:p w:rsidR="000A55FE" w:rsidRPr="000A55FE" w:rsidRDefault="000A55FE" w:rsidP="000E78A6">
      <w:pPr>
        <w:pStyle w:val="Textoindependiente"/>
        <w:spacing w:line="360" w:lineRule="auto"/>
        <w:jc w:val="center"/>
        <w:outlineLvl w:val="0"/>
        <w:rPr>
          <w:lang w:val="es-CR"/>
        </w:rPr>
      </w:pPr>
    </w:p>
    <w:p w:rsidR="000A55FE" w:rsidRDefault="000A55FE" w:rsidP="000E78A6">
      <w:pPr>
        <w:pStyle w:val="Textoindependiente"/>
        <w:spacing w:line="360" w:lineRule="auto"/>
        <w:jc w:val="center"/>
        <w:outlineLvl w:val="0"/>
      </w:pPr>
    </w:p>
    <w:bookmarkStart w:id="9" w:name="_MON_1572697109"/>
    <w:bookmarkEnd w:id="9"/>
    <w:p w:rsidR="000E78A6" w:rsidRDefault="00174EB8" w:rsidP="000E78A6">
      <w:pPr>
        <w:pStyle w:val="Textoindependiente"/>
        <w:spacing w:line="360" w:lineRule="auto"/>
        <w:jc w:val="center"/>
        <w:outlineLvl w:val="0"/>
        <w:rPr>
          <w:rFonts w:ascii="Arial" w:hAnsi="Arial" w:cs="Arial"/>
          <w:sz w:val="20"/>
          <w:szCs w:val="20"/>
          <w:lang w:val="es-CR"/>
        </w:rPr>
      </w:pPr>
      <w:r>
        <w:object w:dxaOrig="11938" w:dyaOrig="10403">
          <v:shape id="_x0000_i1030" type="#_x0000_t75" style="width:401.45pt;height:365.45pt" o:ole="">
            <v:imagedata r:id="rId19" o:title=""/>
          </v:shape>
          <o:OLEObject Type="Embed" ProgID="Excel.Sheet.12" ShapeID="_x0000_i1030" DrawAspect="Content" ObjectID="_1578210056" r:id="rId20"/>
        </w:object>
      </w:r>
    </w:p>
    <w:p w:rsidR="00E83038" w:rsidRDefault="00E83038" w:rsidP="00344947">
      <w:pPr>
        <w:spacing w:line="360" w:lineRule="auto"/>
        <w:ind w:left="705"/>
        <w:jc w:val="both"/>
        <w:rPr>
          <w:rFonts w:ascii="Arial" w:hAnsi="Arial" w:cs="Arial"/>
          <w:b/>
          <w:bCs/>
          <w:sz w:val="20"/>
          <w:szCs w:val="20"/>
        </w:rPr>
      </w:pPr>
    </w:p>
    <w:p w:rsidR="00CC21AA" w:rsidRPr="00344947" w:rsidRDefault="00344947" w:rsidP="00344947">
      <w:pPr>
        <w:spacing w:line="360" w:lineRule="auto"/>
        <w:ind w:left="705"/>
        <w:jc w:val="both"/>
        <w:rPr>
          <w:rFonts w:ascii="Arial" w:hAnsi="Arial" w:cs="Arial"/>
          <w:b/>
          <w:bCs/>
          <w:sz w:val="20"/>
          <w:szCs w:val="20"/>
        </w:rPr>
      </w:pPr>
      <w:r w:rsidRPr="00344947">
        <w:rPr>
          <w:rFonts w:ascii="Arial" w:hAnsi="Arial" w:cs="Arial"/>
          <w:b/>
          <w:bCs/>
          <w:sz w:val="20"/>
          <w:szCs w:val="20"/>
        </w:rPr>
        <w:t>Los cuadros 2.1 y 2.2 deben remitirse al analista enlace de la Dirección General de Presupuesto Nacional, en formato Excel y mediante correo electrónico.</w:t>
      </w:r>
    </w:p>
    <w:p w:rsidR="00344947" w:rsidRDefault="00344947" w:rsidP="00344947">
      <w:pPr>
        <w:spacing w:line="360" w:lineRule="auto"/>
        <w:ind w:left="705"/>
        <w:jc w:val="both"/>
        <w:rPr>
          <w:rFonts w:ascii="Arial" w:hAnsi="Arial" w:cs="Arial"/>
          <w:bCs/>
          <w:sz w:val="20"/>
          <w:szCs w:val="20"/>
        </w:rPr>
      </w:pPr>
    </w:p>
    <w:p w:rsidR="007A7693" w:rsidRPr="007A7693" w:rsidRDefault="007A7693" w:rsidP="00344947">
      <w:pPr>
        <w:spacing w:line="360" w:lineRule="auto"/>
        <w:ind w:left="705"/>
        <w:jc w:val="both"/>
        <w:rPr>
          <w:rFonts w:ascii="Arial" w:hAnsi="Arial" w:cs="Arial"/>
          <w:b/>
          <w:bCs/>
          <w:sz w:val="28"/>
          <w:szCs w:val="28"/>
        </w:rPr>
      </w:pPr>
      <w:r w:rsidRPr="007A7693">
        <w:rPr>
          <w:rFonts w:ascii="Arial" w:hAnsi="Arial" w:cs="Arial"/>
          <w:b/>
          <w:bCs/>
          <w:sz w:val="28"/>
          <w:szCs w:val="28"/>
        </w:rPr>
        <w:t>Análisis por indicador</w:t>
      </w:r>
    </w:p>
    <w:p w:rsidR="007A7693" w:rsidRDefault="007A7693" w:rsidP="00344947">
      <w:pPr>
        <w:spacing w:line="360" w:lineRule="auto"/>
        <w:ind w:left="705"/>
        <w:jc w:val="both"/>
        <w:rPr>
          <w:rFonts w:ascii="Arial" w:hAnsi="Arial" w:cs="Arial"/>
          <w:bCs/>
          <w:sz w:val="20"/>
          <w:szCs w:val="20"/>
        </w:rPr>
      </w:pPr>
    </w:p>
    <w:p w:rsidR="00286865" w:rsidRDefault="00286865" w:rsidP="00344947">
      <w:pPr>
        <w:spacing w:line="360" w:lineRule="auto"/>
        <w:ind w:left="705"/>
        <w:jc w:val="both"/>
        <w:rPr>
          <w:rFonts w:ascii="Arial" w:hAnsi="Arial" w:cs="Arial"/>
          <w:bCs/>
          <w:sz w:val="20"/>
          <w:szCs w:val="20"/>
        </w:rPr>
      </w:pPr>
      <w:r>
        <w:rPr>
          <w:rFonts w:ascii="Arial" w:hAnsi="Arial" w:cs="Arial"/>
          <w:b/>
          <w:sz w:val="20"/>
          <w:szCs w:val="20"/>
        </w:rPr>
        <w:t>Indicador 1: Número de proyectos de desarrollo inclusivo, ejecutados en los territorios priorizados:</w:t>
      </w:r>
    </w:p>
    <w:p w:rsidR="007A7693" w:rsidRDefault="007A7693" w:rsidP="007A7693">
      <w:pPr>
        <w:spacing w:line="360" w:lineRule="auto"/>
        <w:ind w:left="705"/>
        <w:jc w:val="both"/>
        <w:rPr>
          <w:rFonts w:ascii="Arial" w:hAnsi="Arial" w:cs="Arial"/>
          <w:bCs/>
          <w:sz w:val="20"/>
          <w:szCs w:val="20"/>
        </w:rPr>
      </w:pPr>
    </w:p>
    <w:p w:rsidR="007A7693" w:rsidRPr="00420B0D" w:rsidRDefault="00F076B2" w:rsidP="00942F49">
      <w:pPr>
        <w:numPr>
          <w:ilvl w:val="0"/>
          <w:numId w:val="3"/>
        </w:numPr>
        <w:spacing w:line="360" w:lineRule="auto"/>
        <w:jc w:val="both"/>
        <w:rPr>
          <w:rFonts w:ascii="Arial" w:hAnsi="Arial" w:cs="Arial"/>
          <w:sz w:val="20"/>
          <w:szCs w:val="20"/>
        </w:rPr>
      </w:pPr>
      <w:r>
        <w:rPr>
          <w:rFonts w:ascii="Arial" w:hAnsi="Arial" w:cs="Arial"/>
          <w:bCs/>
          <w:sz w:val="20"/>
          <w:szCs w:val="20"/>
        </w:rPr>
        <w:t>Análisis de resultado del indicador</w:t>
      </w:r>
      <w:r w:rsidR="007A7693" w:rsidRPr="00420B0D">
        <w:rPr>
          <w:rFonts w:ascii="Arial" w:hAnsi="Arial" w:cs="Arial"/>
          <w:sz w:val="20"/>
          <w:szCs w:val="20"/>
        </w:rPr>
        <w:t>:</w:t>
      </w:r>
    </w:p>
    <w:p w:rsidR="007A7693" w:rsidRPr="00420B0D" w:rsidRDefault="007A7693" w:rsidP="007A7693">
      <w:pPr>
        <w:spacing w:line="360" w:lineRule="auto"/>
        <w:jc w:val="both"/>
        <w:rPr>
          <w:rFonts w:ascii="Arial" w:hAnsi="Arial" w:cs="Arial"/>
          <w:sz w:val="20"/>
          <w:szCs w:val="20"/>
        </w:rPr>
      </w:pPr>
    </w:p>
    <w:p w:rsidR="007A7693" w:rsidRPr="00D45B50" w:rsidRDefault="007A7693" w:rsidP="00942F49">
      <w:pPr>
        <w:numPr>
          <w:ilvl w:val="0"/>
          <w:numId w:val="1"/>
        </w:numPr>
        <w:tabs>
          <w:tab w:val="clear" w:pos="720"/>
          <w:tab w:val="num" w:pos="1068"/>
        </w:tabs>
        <w:spacing w:line="360" w:lineRule="auto"/>
        <w:ind w:left="1068"/>
        <w:jc w:val="both"/>
        <w:rPr>
          <w:rFonts w:ascii="Arial" w:hAnsi="Arial" w:cs="Arial"/>
          <w:sz w:val="20"/>
          <w:szCs w:val="20"/>
        </w:rPr>
      </w:pPr>
      <w:r w:rsidRPr="00D45B50">
        <w:rPr>
          <w:rFonts w:ascii="Arial" w:hAnsi="Arial" w:cs="Arial"/>
          <w:sz w:val="20"/>
          <w:szCs w:val="20"/>
        </w:rPr>
        <w:lastRenderedPageBreak/>
        <w:t xml:space="preserve">De los indicadores con un </w:t>
      </w:r>
      <w:r>
        <w:rPr>
          <w:rFonts w:ascii="Arial" w:hAnsi="Arial" w:cs="Arial"/>
          <w:sz w:val="20"/>
          <w:szCs w:val="20"/>
        </w:rPr>
        <w:t>cumplimiento</w:t>
      </w:r>
      <w:r w:rsidRPr="00D45B50">
        <w:rPr>
          <w:rFonts w:ascii="Arial" w:hAnsi="Arial" w:cs="Arial"/>
          <w:sz w:val="20"/>
          <w:szCs w:val="20"/>
        </w:rPr>
        <w:t xml:space="preserve"> del 100%, indique los beneficios brindados a la población objeto</w:t>
      </w:r>
      <w:r w:rsidRPr="00420B0D">
        <w:rPr>
          <w:rFonts w:ascii="Arial" w:hAnsi="Arial" w:cs="Arial"/>
          <w:sz w:val="20"/>
          <w:szCs w:val="20"/>
        </w:rPr>
        <w:t xml:space="preserve">. </w:t>
      </w:r>
      <w:r w:rsidRPr="00D45B50">
        <w:rPr>
          <w:rFonts w:ascii="Arial" w:hAnsi="Arial" w:cs="Arial"/>
          <w:sz w:val="20"/>
          <w:szCs w:val="20"/>
        </w:rPr>
        <w:t xml:space="preserve">En caso de existir metas con resultados mayores a lo programado, </w:t>
      </w:r>
      <w:r>
        <w:rPr>
          <w:rFonts w:ascii="Arial" w:hAnsi="Arial" w:cs="Arial"/>
          <w:sz w:val="20"/>
          <w:szCs w:val="20"/>
        </w:rPr>
        <w:t xml:space="preserve">se deberá </w:t>
      </w:r>
      <w:r w:rsidRPr="00D45B50">
        <w:rPr>
          <w:rFonts w:ascii="Arial" w:hAnsi="Arial" w:cs="Arial"/>
          <w:sz w:val="20"/>
          <w:szCs w:val="20"/>
        </w:rPr>
        <w:t xml:space="preserve">justificar las razones que lo </w:t>
      </w:r>
      <w:r>
        <w:rPr>
          <w:rFonts w:ascii="Arial" w:hAnsi="Arial" w:cs="Arial"/>
          <w:sz w:val="20"/>
          <w:szCs w:val="20"/>
        </w:rPr>
        <w:t>generaron</w:t>
      </w:r>
      <w:r w:rsidRPr="00D45B50">
        <w:rPr>
          <w:rFonts w:ascii="Arial" w:hAnsi="Arial" w:cs="Arial"/>
          <w:sz w:val="20"/>
          <w:szCs w:val="20"/>
        </w:rPr>
        <w:t xml:space="preserve">. </w:t>
      </w:r>
    </w:p>
    <w:p w:rsidR="007A7693" w:rsidRDefault="007A7693" w:rsidP="007A7693">
      <w:pPr>
        <w:spacing w:line="360" w:lineRule="auto"/>
        <w:ind w:left="720"/>
        <w:jc w:val="both"/>
        <w:rPr>
          <w:rFonts w:ascii="Arial" w:hAnsi="Arial" w:cs="Arial"/>
          <w:sz w:val="20"/>
          <w:szCs w:val="20"/>
        </w:rPr>
      </w:pPr>
    </w:p>
    <w:p w:rsidR="00F076B2" w:rsidRDefault="00DA762A" w:rsidP="007A7693">
      <w:pPr>
        <w:spacing w:line="360" w:lineRule="auto"/>
        <w:ind w:left="720"/>
        <w:jc w:val="both"/>
        <w:rPr>
          <w:rFonts w:ascii="Arial" w:hAnsi="Arial" w:cs="Arial"/>
          <w:sz w:val="20"/>
          <w:szCs w:val="20"/>
        </w:rPr>
      </w:pPr>
      <w:r>
        <w:rPr>
          <w:rFonts w:ascii="Arial" w:hAnsi="Arial" w:cs="Arial"/>
          <w:sz w:val="20"/>
          <w:szCs w:val="20"/>
        </w:rPr>
        <w:t>En este caso se indicó a finales del 2016 que existían proyectos en proceso de liquidación, cuya acreditación como proyectos liquidados es lo que permite contabilizar su condición de finalizados. Así, en el informe semestral se reportaron 13 proyectos, de 14 que se tenían como meta para el 2018 y al final de este año se totalizan 23 proyectos de infraestructura culminados y en operación, en distritos prioritarios.</w:t>
      </w:r>
    </w:p>
    <w:p w:rsidR="00DA762A" w:rsidRDefault="00DA762A" w:rsidP="007A7693">
      <w:pPr>
        <w:spacing w:line="360" w:lineRule="auto"/>
        <w:ind w:left="720"/>
        <w:jc w:val="both"/>
        <w:rPr>
          <w:rFonts w:ascii="Arial" w:hAnsi="Arial" w:cs="Arial"/>
          <w:sz w:val="20"/>
          <w:szCs w:val="20"/>
        </w:rPr>
      </w:pPr>
    </w:p>
    <w:p w:rsidR="00485DD3" w:rsidRDefault="00DA762A" w:rsidP="007A7693">
      <w:pPr>
        <w:spacing w:line="360" w:lineRule="auto"/>
        <w:ind w:left="720"/>
        <w:jc w:val="both"/>
        <w:rPr>
          <w:rFonts w:ascii="Arial" w:hAnsi="Arial" w:cs="Arial"/>
          <w:sz w:val="20"/>
          <w:szCs w:val="20"/>
        </w:rPr>
      </w:pPr>
      <w:r>
        <w:rPr>
          <w:rFonts w:ascii="Arial" w:hAnsi="Arial" w:cs="Arial"/>
          <w:sz w:val="20"/>
          <w:szCs w:val="20"/>
        </w:rPr>
        <w:t>Cabe mencionar que</w:t>
      </w:r>
      <w:r w:rsidR="00485DD3">
        <w:rPr>
          <w:rFonts w:ascii="Arial" w:hAnsi="Arial" w:cs="Arial"/>
          <w:sz w:val="20"/>
          <w:szCs w:val="20"/>
        </w:rPr>
        <w:t>,</w:t>
      </w:r>
      <w:r>
        <w:rPr>
          <w:rFonts w:ascii="Arial" w:hAnsi="Arial" w:cs="Arial"/>
          <w:sz w:val="20"/>
          <w:szCs w:val="20"/>
        </w:rPr>
        <w:t xml:space="preserve"> si bien la meta de este año se superó en un </w:t>
      </w:r>
      <w:r w:rsidR="00174EB8">
        <w:rPr>
          <w:rFonts w:ascii="Arial" w:hAnsi="Arial" w:cs="Arial"/>
          <w:sz w:val="20"/>
          <w:szCs w:val="20"/>
        </w:rPr>
        <w:t>64</w:t>
      </w:r>
      <w:r>
        <w:rPr>
          <w:rFonts w:ascii="Arial" w:hAnsi="Arial" w:cs="Arial"/>
          <w:sz w:val="20"/>
          <w:szCs w:val="20"/>
        </w:rPr>
        <w:t>%, en términos de la cifra acumulada dentro del compromiso del Plan Nacional de Desarrollo</w:t>
      </w:r>
      <w:r w:rsidR="00485DD3">
        <w:rPr>
          <w:rFonts w:ascii="Arial" w:hAnsi="Arial" w:cs="Arial"/>
          <w:sz w:val="20"/>
          <w:szCs w:val="20"/>
        </w:rPr>
        <w:t xml:space="preserve"> (PND)</w:t>
      </w:r>
      <w:r>
        <w:rPr>
          <w:rFonts w:ascii="Arial" w:hAnsi="Arial" w:cs="Arial"/>
          <w:sz w:val="20"/>
          <w:szCs w:val="20"/>
        </w:rPr>
        <w:t>, viene más bien a equilibrar el faltante de proyectos liqu</w:t>
      </w:r>
      <w:r w:rsidR="00485DD3">
        <w:rPr>
          <w:rFonts w:ascii="Arial" w:hAnsi="Arial" w:cs="Arial"/>
          <w:sz w:val="20"/>
          <w:szCs w:val="20"/>
        </w:rPr>
        <w:t xml:space="preserve">idados en los años 2015 y 2016, ya que en el primer año se cumplió con 2 de 5 proyectos, mientras que en el segundo año el cumplimiento fue de 9 de 14 proyectos. Para este 2017, se tenía como compromiso un acumulado de 33 proyectos ejecutados en distritos prioritarios, y el acumulado real asciende a 34, con lo cual el alcance es levemente superior. </w:t>
      </w:r>
    </w:p>
    <w:p w:rsidR="00485DD3" w:rsidRDefault="00485DD3" w:rsidP="007A7693">
      <w:pPr>
        <w:spacing w:line="360" w:lineRule="auto"/>
        <w:ind w:left="720"/>
        <w:jc w:val="both"/>
        <w:rPr>
          <w:rFonts w:ascii="Arial" w:hAnsi="Arial" w:cs="Arial"/>
          <w:sz w:val="20"/>
          <w:szCs w:val="20"/>
        </w:rPr>
      </w:pPr>
    </w:p>
    <w:p w:rsidR="00DA762A" w:rsidRDefault="00485DD3" w:rsidP="007A7693">
      <w:pPr>
        <w:spacing w:line="360" w:lineRule="auto"/>
        <w:ind w:left="720"/>
        <w:jc w:val="both"/>
        <w:rPr>
          <w:rFonts w:ascii="Arial" w:hAnsi="Arial" w:cs="Arial"/>
          <w:sz w:val="20"/>
          <w:szCs w:val="20"/>
        </w:rPr>
      </w:pPr>
      <w:r>
        <w:rPr>
          <w:rFonts w:ascii="Arial" w:hAnsi="Arial" w:cs="Arial"/>
          <w:sz w:val="20"/>
          <w:szCs w:val="20"/>
        </w:rPr>
        <w:t xml:space="preserve">Vale señalar que la realización de proyectos en distritos prioritarios es de capital importancia, toda vez que es hasta en este PND, en el que se asume el compromiso de motivar a organizaciones de desarrollo de esos distritos, para que presenten propuestas de proyectos, que representen inversiones importantes para dichas comunidades, lo que ha implicado un significativo esfuerzo de asesoría desde las oficinas regionales. </w:t>
      </w:r>
    </w:p>
    <w:p w:rsidR="008875C0" w:rsidRDefault="008875C0" w:rsidP="007A7693">
      <w:pPr>
        <w:spacing w:line="360" w:lineRule="auto"/>
        <w:ind w:left="720"/>
        <w:jc w:val="both"/>
        <w:rPr>
          <w:rFonts w:ascii="Arial" w:hAnsi="Arial" w:cs="Arial"/>
          <w:sz w:val="20"/>
          <w:szCs w:val="20"/>
        </w:rPr>
      </w:pPr>
    </w:p>
    <w:p w:rsidR="008875C0" w:rsidRPr="00420B0D" w:rsidRDefault="008875C0" w:rsidP="007A7693">
      <w:pPr>
        <w:spacing w:line="360" w:lineRule="auto"/>
        <w:ind w:left="720"/>
        <w:jc w:val="both"/>
        <w:rPr>
          <w:rFonts w:ascii="Arial" w:hAnsi="Arial" w:cs="Arial"/>
          <w:sz w:val="20"/>
          <w:szCs w:val="20"/>
        </w:rPr>
      </w:pPr>
      <w:r>
        <w:rPr>
          <w:rFonts w:ascii="Arial" w:hAnsi="Arial" w:cs="Arial"/>
          <w:sz w:val="20"/>
          <w:szCs w:val="20"/>
        </w:rPr>
        <w:t xml:space="preserve">Con estos proyectos, se ha dotado de infraestructura comunal y vial, para motivar diversas actividades de recreación, o para mejorar la accesibilidad en vías de comunicación a sus pobladores. </w:t>
      </w:r>
      <w:r w:rsidR="00FE4268">
        <w:rPr>
          <w:rFonts w:ascii="Arial" w:hAnsi="Arial" w:cs="Arial"/>
          <w:sz w:val="20"/>
          <w:szCs w:val="20"/>
        </w:rPr>
        <w:t xml:space="preserve">Ejemplos de estas obras están la reconstrucción de salón comunal, construcción de redondeles (plazas de toros), construcción de skate </w:t>
      </w:r>
      <w:proofErr w:type="spellStart"/>
      <w:r w:rsidR="00FE4268">
        <w:rPr>
          <w:rFonts w:ascii="Arial" w:hAnsi="Arial" w:cs="Arial"/>
          <w:sz w:val="20"/>
          <w:szCs w:val="20"/>
        </w:rPr>
        <w:t>park</w:t>
      </w:r>
      <w:proofErr w:type="spellEnd"/>
      <w:r w:rsidR="00FE4268">
        <w:rPr>
          <w:rFonts w:ascii="Arial" w:hAnsi="Arial" w:cs="Arial"/>
          <w:sz w:val="20"/>
          <w:szCs w:val="20"/>
        </w:rPr>
        <w:t xml:space="preserve">, asfaltado de calles y mejoras en plazas de deportes. También es de resaltar que las realizaciones de estos proyectos parten de las propias necesidades surgidas de las comunidades y que el acuerdo a presentar un proyecto, requiere de la aprobación de la asamblea de asociados de la organización comunal. </w:t>
      </w:r>
    </w:p>
    <w:p w:rsidR="007A7693" w:rsidRDefault="007A7693" w:rsidP="007A7693">
      <w:pPr>
        <w:spacing w:line="360" w:lineRule="auto"/>
        <w:ind w:left="1068"/>
        <w:jc w:val="both"/>
        <w:rPr>
          <w:rFonts w:ascii="Arial" w:hAnsi="Arial" w:cs="Arial"/>
          <w:sz w:val="20"/>
          <w:szCs w:val="20"/>
        </w:rPr>
      </w:pPr>
    </w:p>
    <w:p w:rsidR="007A7693" w:rsidRPr="00AF57DE" w:rsidRDefault="007A7693" w:rsidP="00942F49">
      <w:pPr>
        <w:numPr>
          <w:ilvl w:val="0"/>
          <w:numId w:val="3"/>
        </w:numPr>
        <w:spacing w:line="360" w:lineRule="auto"/>
        <w:jc w:val="both"/>
        <w:rPr>
          <w:rFonts w:ascii="Arial" w:hAnsi="Arial" w:cs="Arial"/>
          <w:bCs/>
          <w:sz w:val="20"/>
          <w:szCs w:val="20"/>
        </w:rPr>
      </w:pPr>
      <w:r w:rsidRPr="00AF57DE">
        <w:rPr>
          <w:rFonts w:ascii="Arial" w:hAnsi="Arial" w:cs="Arial"/>
          <w:bCs/>
          <w:sz w:val="20"/>
          <w:szCs w:val="20"/>
        </w:rPr>
        <w:t xml:space="preserve">Refiérase a los recursos ejecutados en relación con los logros alcanzados. </w:t>
      </w:r>
    </w:p>
    <w:p w:rsidR="007A7693" w:rsidRDefault="00174EB8" w:rsidP="007A7693">
      <w:pPr>
        <w:spacing w:line="360" w:lineRule="auto"/>
        <w:ind w:left="720"/>
        <w:jc w:val="both"/>
        <w:rPr>
          <w:rFonts w:ascii="Arial" w:hAnsi="Arial" w:cs="Arial"/>
          <w:bCs/>
          <w:sz w:val="20"/>
          <w:szCs w:val="20"/>
        </w:rPr>
      </w:pPr>
      <w:r>
        <w:rPr>
          <w:rFonts w:ascii="Arial" w:hAnsi="Arial" w:cs="Arial"/>
          <w:bCs/>
          <w:sz w:val="20"/>
          <w:szCs w:val="20"/>
        </w:rPr>
        <w:lastRenderedPageBreak/>
        <w:t xml:space="preserve">En cuanto a la ejecución de recursos, los 23 proyectos registrados totalizan 1451.6 millones de colones, lo que implica un promedio de 63 millones de colones por proyecto. </w:t>
      </w:r>
      <w:r w:rsidR="00604120">
        <w:rPr>
          <w:rFonts w:ascii="Arial" w:hAnsi="Arial" w:cs="Arial"/>
          <w:bCs/>
          <w:sz w:val="20"/>
          <w:szCs w:val="20"/>
        </w:rPr>
        <w:t xml:space="preserve">En caso de darse continuidad a esta meta en el próximo PND, será necesario actualizar la línea base, tanto de número de proyectos en esos distritos, como del monto promedio a presupuestar por proyecto. El logro de estos proyectos reside en que constituyen obras de largo plazo, para el beneficio de distintas generaciones, en el tanto se les de mantenimiento, lo cual ya se verifica dentro de las inspecciones a los proyectos en operación, a efecto de que posteriores juntas directivas de asociaciones comunales, realicen proyectos de mantenimiento o mejoras a esas obras. </w:t>
      </w:r>
    </w:p>
    <w:p w:rsidR="00174EB8" w:rsidRPr="00AF57DE" w:rsidRDefault="00174EB8" w:rsidP="007A7693">
      <w:pPr>
        <w:spacing w:line="360" w:lineRule="auto"/>
        <w:ind w:left="720"/>
        <w:jc w:val="both"/>
        <w:rPr>
          <w:rFonts w:ascii="Arial" w:hAnsi="Arial" w:cs="Arial"/>
          <w:bCs/>
          <w:sz w:val="20"/>
          <w:szCs w:val="20"/>
        </w:rPr>
      </w:pPr>
    </w:p>
    <w:p w:rsidR="007A7693" w:rsidRDefault="007A7693" w:rsidP="00942F49">
      <w:pPr>
        <w:numPr>
          <w:ilvl w:val="0"/>
          <w:numId w:val="3"/>
        </w:numPr>
        <w:spacing w:line="360" w:lineRule="auto"/>
        <w:jc w:val="both"/>
        <w:rPr>
          <w:rFonts w:ascii="Arial" w:hAnsi="Arial" w:cs="Arial"/>
          <w:bCs/>
          <w:sz w:val="20"/>
          <w:szCs w:val="20"/>
        </w:rPr>
      </w:pPr>
      <w:r w:rsidRPr="00AF57DE">
        <w:rPr>
          <w:rFonts w:ascii="Arial" w:hAnsi="Arial" w:cs="Arial"/>
          <w:bCs/>
          <w:sz w:val="20"/>
          <w:szCs w:val="20"/>
        </w:rPr>
        <w:t>Comente cómo la gestión desarrollada contribuyó</w:t>
      </w:r>
      <w:r>
        <w:rPr>
          <w:rFonts w:ascii="Arial" w:hAnsi="Arial" w:cs="Arial"/>
          <w:bCs/>
          <w:sz w:val="20"/>
          <w:szCs w:val="20"/>
        </w:rPr>
        <w:t xml:space="preserve"> con la misión institucional.</w:t>
      </w:r>
    </w:p>
    <w:p w:rsidR="0079202E" w:rsidRDefault="0079202E" w:rsidP="007A7693">
      <w:pPr>
        <w:spacing w:line="360" w:lineRule="auto"/>
        <w:ind w:left="720"/>
        <w:jc w:val="both"/>
        <w:rPr>
          <w:rFonts w:ascii="Arial" w:hAnsi="Arial" w:cs="Arial"/>
          <w:bCs/>
          <w:sz w:val="20"/>
          <w:szCs w:val="20"/>
        </w:rPr>
      </w:pPr>
    </w:p>
    <w:p w:rsidR="007A7693" w:rsidRDefault="0079202E" w:rsidP="007A7693">
      <w:pPr>
        <w:spacing w:line="360" w:lineRule="auto"/>
        <w:ind w:left="720"/>
        <w:jc w:val="both"/>
        <w:rPr>
          <w:rFonts w:ascii="Arial" w:hAnsi="Arial" w:cs="Arial"/>
          <w:bCs/>
          <w:sz w:val="20"/>
          <w:szCs w:val="20"/>
        </w:rPr>
      </w:pPr>
      <w:r w:rsidRPr="006B28FE">
        <w:rPr>
          <w:rFonts w:ascii="Arial" w:hAnsi="Arial" w:cs="Arial"/>
          <w:bCs/>
          <w:sz w:val="20"/>
          <w:szCs w:val="20"/>
        </w:rPr>
        <w:t>La relevancia de este indicador reside en la evidencia de que los fondos son destinados para el desarrollo de los proyectos conforme el perfil aprobado. Lo anterior es consecuente con la misión institucional, en lo que respecta al fortalecimiento de las organizaciones de desarrollo comunal, en su gestión proactiva de desarrollar proyectos para beneficio de sus comunidades</w:t>
      </w:r>
      <w:r>
        <w:rPr>
          <w:rFonts w:ascii="Arial" w:hAnsi="Arial" w:cs="Arial"/>
          <w:bCs/>
          <w:sz w:val="20"/>
          <w:szCs w:val="20"/>
        </w:rPr>
        <w:t>. Además, a través de toda la dinámica de proyectos, se promueven aspectos contemplados en los principios establecidos en la Ley N°3859 Sobre el desarrollo de la comunidad, como la participación activa y consciente en las decisiones y acciones en la comunidad, la creación de oportunidades y el desarrollo de capacidades y cualidades para canalizarlas en beneficio de la comunidad y del país.</w:t>
      </w:r>
    </w:p>
    <w:p w:rsidR="00604120" w:rsidRDefault="00604120" w:rsidP="007A7693">
      <w:pPr>
        <w:spacing w:line="360" w:lineRule="auto"/>
        <w:ind w:left="720"/>
        <w:jc w:val="both"/>
        <w:rPr>
          <w:rFonts w:ascii="Arial" w:hAnsi="Arial" w:cs="Arial"/>
          <w:bCs/>
          <w:sz w:val="20"/>
          <w:szCs w:val="20"/>
        </w:rPr>
      </w:pPr>
    </w:p>
    <w:p w:rsidR="007A7693" w:rsidRDefault="007A7693" w:rsidP="00942F49">
      <w:pPr>
        <w:numPr>
          <w:ilvl w:val="0"/>
          <w:numId w:val="3"/>
        </w:numPr>
        <w:spacing w:line="360" w:lineRule="auto"/>
        <w:jc w:val="both"/>
        <w:rPr>
          <w:rFonts w:ascii="Arial" w:hAnsi="Arial" w:cs="Arial"/>
          <w:bCs/>
          <w:sz w:val="20"/>
          <w:szCs w:val="20"/>
        </w:rPr>
      </w:pPr>
      <w:r w:rsidRPr="00420B0D">
        <w:rPr>
          <w:rFonts w:ascii="Arial" w:hAnsi="Arial" w:cs="Arial"/>
          <w:bCs/>
          <w:sz w:val="20"/>
          <w:szCs w:val="20"/>
        </w:rPr>
        <w:t xml:space="preserve">En caso que corresponda, refiérase a la vinculación de los logros del programa </w:t>
      </w:r>
      <w:r>
        <w:rPr>
          <w:rFonts w:ascii="Arial" w:hAnsi="Arial" w:cs="Arial"/>
          <w:bCs/>
          <w:sz w:val="20"/>
          <w:szCs w:val="20"/>
        </w:rPr>
        <w:t xml:space="preserve">o subprograma </w:t>
      </w:r>
      <w:r w:rsidRPr="00420B0D">
        <w:rPr>
          <w:rFonts w:ascii="Arial" w:hAnsi="Arial" w:cs="Arial"/>
          <w:bCs/>
          <w:sz w:val="20"/>
          <w:szCs w:val="20"/>
        </w:rPr>
        <w:t>con lo establecido en el Plan Nacional de Desarrollo</w:t>
      </w:r>
      <w:r>
        <w:rPr>
          <w:rFonts w:ascii="Arial" w:hAnsi="Arial" w:cs="Arial"/>
          <w:bCs/>
          <w:sz w:val="20"/>
          <w:szCs w:val="20"/>
        </w:rPr>
        <w:t xml:space="preserve"> 2015-2018</w:t>
      </w:r>
      <w:r w:rsidRPr="00420B0D">
        <w:rPr>
          <w:rFonts w:ascii="Arial" w:hAnsi="Arial" w:cs="Arial"/>
          <w:bCs/>
          <w:sz w:val="20"/>
          <w:szCs w:val="20"/>
        </w:rPr>
        <w:t xml:space="preserve">.  </w:t>
      </w:r>
    </w:p>
    <w:p w:rsidR="007A7693" w:rsidRDefault="007A7693" w:rsidP="007A7693">
      <w:pPr>
        <w:pStyle w:val="Sangra2detindependiente"/>
        <w:ind w:left="0"/>
        <w:jc w:val="both"/>
        <w:rPr>
          <w:rFonts w:ascii="Arial" w:hAnsi="Arial" w:cs="Arial"/>
          <w:b/>
          <w:bCs/>
          <w:sz w:val="20"/>
          <w:szCs w:val="20"/>
        </w:rPr>
      </w:pPr>
    </w:p>
    <w:p w:rsidR="00286865" w:rsidRDefault="00485DD3" w:rsidP="00344947">
      <w:pPr>
        <w:spacing w:line="360" w:lineRule="auto"/>
        <w:ind w:left="705"/>
        <w:jc w:val="both"/>
        <w:rPr>
          <w:rFonts w:ascii="Arial" w:hAnsi="Arial" w:cs="Arial"/>
          <w:bCs/>
          <w:sz w:val="20"/>
          <w:szCs w:val="20"/>
        </w:rPr>
      </w:pPr>
      <w:r>
        <w:rPr>
          <w:rFonts w:ascii="Arial" w:hAnsi="Arial" w:cs="Arial"/>
          <w:bCs/>
          <w:sz w:val="20"/>
          <w:szCs w:val="20"/>
        </w:rPr>
        <w:t>De acuerdo con la explicación dada en el ítem a), es clara la vinculación de los logros con lo establecido en el PND, por lo que no hace falta reiterar en los logros.</w:t>
      </w:r>
    </w:p>
    <w:p w:rsidR="00286865" w:rsidRDefault="00286865" w:rsidP="00344947">
      <w:pPr>
        <w:spacing w:line="360" w:lineRule="auto"/>
        <w:ind w:left="705"/>
        <w:jc w:val="both"/>
        <w:rPr>
          <w:rFonts w:ascii="Arial" w:hAnsi="Arial" w:cs="Arial"/>
          <w:bCs/>
          <w:sz w:val="20"/>
          <w:szCs w:val="20"/>
        </w:rPr>
      </w:pPr>
    </w:p>
    <w:p w:rsidR="007A7693" w:rsidRPr="007A7693" w:rsidRDefault="007A7693" w:rsidP="007A7693">
      <w:pPr>
        <w:spacing w:line="360" w:lineRule="auto"/>
        <w:ind w:left="705"/>
        <w:jc w:val="both"/>
        <w:rPr>
          <w:rFonts w:ascii="Arial" w:hAnsi="Arial" w:cs="Arial"/>
          <w:b/>
          <w:bCs/>
          <w:sz w:val="20"/>
          <w:szCs w:val="20"/>
        </w:rPr>
      </w:pPr>
      <w:r w:rsidRPr="007A7693">
        <w:rPr>
          <w:rFonts w:ascii="Arial" w:hAnsi="Arial" w:cs="Arial"/>
          <w:b/>
          <w:bCs/>
          <w:sz w:val="20"/>
          <w:szCs w:val="20"/>
        </w:rPr>
        <w:t>Indicador 2: Número de proyectos de desarrollo ejecutados en territorios indígenas:</w:t>
      </w:r>
    </w:p>
    <w:p w:rsidR="00286865" w:rsidRDefault="00286865" w:rsidP="00344947">
      <w:pPr>
        <w:spacing w:line="360" w:lineRule="auto"/>
        <w:ind w:left="705"/>
        <w:jc w:val="both"/>
        <w:rPr>
          <w:rFonts w:ascii="Arial" w:hAnsi="Arial" w:cs="Arial"/>
          <w:bCs/>
          <w:sz w:val="20"/>
          <w:szCs w:val="20"/>
        </w:rPr>
      </w:pPr>
    </w:p>
    <w:p w:rsidR="007A7693" w:rsidRDefault="007A7693" w:rsidP="007A7693">
      <w:pPr>
        <w:spacing w:line="360" w:lineRule="auto"/>
        <w:ind w:left="705"/>
        <w:jc w:val="both"/>
        <w:rPr>
          <w:rFonts w:ascii="Arial" w:hAnsi="Arial" w:cs="Arial"/>
          <w:bCs/>
          <w:sz w:val="20"/>
          <w:szCs w:val="20"/>
        </w:rPr>
      </w:pPr>
    </w:p>
    <w:p w:rsidR="007A7693" w:rsidRPr="00420B0D" w:rsidRDefault="00E45F2D" w:rsidP="00942F49">
      <w:pPr>
        <w:numPr>
          <w:ilvl w:val="0"/>
          <w:numId w:val="12"/>
        </w:numPr>
        <w:spacing w:line="360" w:lineRule="auto"/>
        <w:jc w:val="both"/>
        <w:rPr>
          <w:rFonts w:ascii="Arial" w:hAnsi="Arial" w:cs="Arial"/>
          <w:sz w:val="20"/>
          <w:szCs w:val="20"/>
        </w:rPr>
      </w:pPr>
      <w:r>
        <w:rPr>
          <w:rFonts w:ascii="Arial" w:hAnsi="Arial" w:cs="Arial"/>
          <w:bCs/>
          <w:sz w:val="20"/>
          <w:szCs w:val="20"/>
        </w:rPr>
        <w:t>Análisis de resultado del indicador</w:t>
      </w:r>
      <w:r w:rsidR="007A7693" w:rsidRPr="00420B0D">
        <w:rPr>
          <w:rFonts w:ascii="Arial" w:hAnsi="Arial" w:cs="Arial"/>
          <w:sz w:val="20"/>
          <w:szCs w:val="20"/>
        </w:rPr>
        <w:t>:</w:t>
      </w:r>
    </w:p>
    <w:p w:rsidR="007A7693" w:rsidRPr="00420B0D" w:rsidRDefault="007A7693" w:rsidP="007A7693">
      <w:pPr>
        <w:spacing w:line="360" w:lineRule="auto"/>
        <w:jc w:val="both"/>
        <w:rPr>
          <w:rFonts w:ascii="Arial" w:hAnsi="Arial" w:cs="Arial"/>
          <w:sz w:val="20"/>
          <w:szCs w:val="20"/>
        </w:rPr>
      </w:pPr>
    </w:p>
    <w:p w:rsidR="007A7693" w:rsidRDefault="007A7693" w:rsidP="007A7693">
      <w:pPr>
        <w:spacing w:line="360" w:lineRule="auto"/>
        <w:ind w:left="720"/>
        <w:jc w:val="both"/>
        <w:rPr>
          <w:rFonts w:ascii="Arial" w:hAnsi="Arial" w:cs="Arial"/>
          <w:sz w:val="20"/>
          <w:szCs w:val="20"/>
        </w:rPr>
      </w:pPr>
    </w:p>
    <w:p w:rsidR="00EB7CB1" w:rsidRDefault="006C1CF1" w:rsidP="007A7693">
      <w:pPr>
        <w:spacing w:line="360" w:lineRule="auto"/>
        <w:ind w:left="720"/>
        <w:jc w:val="both"/>
        <w:rPr>
          <w:rFonts w:ascii="Arial" w:hAnsi="Arial" w:cs="Arial"/>
          <w:sz w:val="20"/>
          <w:szCs w:val="20"/>
        </w:rPr>
      </w:pPr>
      <w:r>
        <w:rPr>
          <w:rFonts w:ascii="Arial" w:hAnsi="Arial" w:cs="Arial"/>
          <w:sz w:val="20"/>
          <w:szCs w:val="20"/>
        </w:rPr>
        <w:lastRenderedPageBreak/>
        <w:t>Este indicador se cumplió en el segundo semestre de 2017, con el proyecto que se detalla a continuación:</w:t>
      </w:r>
    </w:p>
    <w:p w:rsidR="006C1CF1" w:rsidRDefault="006C1CF1" w:rsidP="006C1CF1">
      <w:pPr>
        <w:spacing w:line="360" w:lineRule="auto"/>
        <w:jc w:val="both"/>
        <w:rPr>
          <w:rFonts w:ascii="Arial" w:hAnsi="Arial" w:cs="Arial"/>
          <w:sz w:val="20"/>
          <w:szCs w:val="20"/>
        </w:rPr>
      </w:pPr>
    </w:p>
    <w:p w:rsidR="006C1CF1" w:rsidRDefault="006C1CF1" w:rsidP="006C1CF1">
      <w:pPr>
        <w:spacing w:line="360" w:lineRule="auto"/>
        <w:ind w:left="720"/>
        <w:rPr>
          <w:rFonts w:ascii="Arial" w:hAnsi="Arial" w:cs="Arial"/>
          <w:sz w:val="20"/>
          <w:szCs w:val="20"/>
        </w:rPr>
      </w:pPr>
      <w:r w:rsidRPr="006C1CF1">
        <w:drawing>
          <wp:inline distT="0" distB="0" distL="0" distR="0">
            <wp:extent cx="5400040" cy="699776"/>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99776"/>
                    </a:xfrm>
                    <a:prstGeom prst="rect">
                      <a:avLst/>
                    </a:prstGeom>
                    <a:noFill/>
                    <a:ln>
                      <a:noFill/>
                    </a:ln>
                  </pic:spPr>
                </pic:pic>
              </a:graphicData>
            </a:graphic>
          </wp:inline>
        </w:drawing>
      </w:r>
    </w:p>
    <w:p w:rsidR="006E77C6" w:rsidRDefault="00494654" w:rsidP="007A7693">
      <w:pPr>
        <w:spacing w:line="360" w:lineRule="auto"/>
        <w:ind w:left="720"/>
        <w:jc w:val="both"/>
        <w:rPr>
          <w:rFonts w:ascii="Arial" w:hAnsi="Arial" w:cs="Arial"/>
          <w:sz w:val="20"/>
          <w:szCs w:val="20"/>
        </w:rPr>
      </w:pPr>
      <w:r>
        <w:rPr>
          <w:rFonts w:ascii="Arial" w:hAnsi="Arial" w:cs="Arial"/>
          <w:sz w:val="20"/>
          <w:szCs w:val="20"/>
        </w:rPr>
        <w:t>En estos territorios que</w:t>
      </w:r>
      <w:r w:rsidR="006E77C6">
        <w:rPr>
          <w:rFonts w:ascii="Arial" w:hAnsi="Arial" w:cs="Arial"/>
          <w:sz w:val="20"/>
          <w:szCs w:val="20"/>
        </w:rPr>
        <w:t>,</w:t>
      </w:r>
      <w:r>
        <w:rPr>
          <w:rFonts w:ascii="Arial" w:hAnsi="Arial" w:cs="Arial"/>
          <w:sz w:val="20"/>
          <w:szCs w:val="20"/>
        </w:rPr>
        <w:t xml:space="preserve"> por sus características, son alejados de centros urbanos, la iniciativa de realizar proyectos en los mismos, resulta provechoso para la colectividad. En este caso, el mérito de esta comunidad es haberse organizado para culminar una obra de una inversión importante, </w:t>
      </w:r>
      <w:r w:rsidR="006E77C6">
        <w:rPr>
          <w:rFonts w:ascii="Arial" w:hAnsi="Arial" w:cs="Arial"/>
          <w:sz w:val="20"/>
          <w:szCs w:val="20"/>
        </w:rPr>
        <w:t xml:space="preserve">que casi quintuplica el monto base presupuestado por proyecto, pero </w:t>
      </w:r>
      <w:proofErr w:type="gramStart"/>
      <w:r w:rsidR="006E77C6">
        <w:rPr>
          <w:rFonts w:ascii="Arial" w:hAnsi="Arial" w:cs="Arial"/>
          <w:sz w:val="20"/>
          <w:szCs w:val="20"/>
        </w:rPr>
        <w:t>que</w:t>
      </w:r>
      <w:proofErr w:type="gramEnd"/>
      <w:r w:rsidR="006E77C6">
        <w:rPr>
          <w:rFonts w:ascii="Arial" w:hAnsi="Arial" w:cs="Arial"/>
          <w:sz w:val="20"/>
          <w:szCs w:val="20"/>
        </w:rPr>
        <w:t xml:space="preserve"> sobre todo</w:t>
      </w:r>
      <w:r>
        <w:rPr>
          <w:rFonts w:ascii="Arial" w:hAnsi="Arial" w:cs="Arial"/>
          <w:sz w:val="20"/>
          <w:szCs w:val="20"/>
        </w:rPr>
        <w:t>, servirá para múltiples requerimientos</w:t>
      </w:r>
      <w:r w:rsidR="006E77C6">
        <w:rPr>
          <w:rFonts w:ascii="Arial" w:hAnsi="Arial" w:cs="Arial"/>
          <w:sz w:val="20"/>
          <w:szCs w:val="20"/>
        </w:rPr>
        <w:t xml:space="preserve"> de la reserva indígena</w:t>
      </w:r>
      <w:r>
        <w:rPr>
          <w:rFonts w:ascii="Arial" w:hAnsi="Arial" w:cs="Arial"/>
          <w:sz w:val="20"/>
          <w:szCs w:val="20"/>
        </w:rPr>
        <w:t xml:space="preserve"> (como punto para reuniones con pobladores</w:t>
      </w:r>
      <w:r w:rsidR="006E77C6">
        <w:rPr>
          <w:rFonts w:ascii="Arial" w:hAnsi="Arial" w:cs="Arial"/>
          <w:sz w:val="20"/>
          <w:szCs w:val="20"/>
        </w:rPr>
        <w:t>, realización de actividades culturales y protocolarias con diversas instituciones, celebraciones festivas, albergue en caso de desastres naturales, entre otros).</w:t>
      </w:r>
      <w:r w:rsidR="00BB248C">
        <w:rPr>
          <w:rFonts w:ascii="Arial" w:hAnsi="Arial" w:cs="Arial"/>
          <w:sz w:val="20"/>
          <w:szCs w:val="20"/>
        </w:rPr>
        <w:t xml:space="preserve"> </w:t>
      </w:r>
      <w:r w:rsidR="00BB248C">
        <w:rPr>
          <w:rFonts w:ascii="Arial" w:hAnsi="Arial" w:cs="Arial"/>
          <w:bCs/>
          <w:sz w:val="20"/>
          <w:szCs w:val="20"/>
        </w:rPr>
        <w:t xml:space="preserve">El logro de </w:t>
      </w:r>
      <w:r w:rsidR="00BB248C">
        <w:rPr>
          <w:rFonts w:ascii="Arial" w:hAnsi="Arial" w:cs="Arial"/>
          <w:bCs/>
          <w:sz w:val="20"/>
          <w:szCs w:val="20"/>
        </w:rPr>
        <w:t>este tipo de</w:t>
      </w:r>
      <w:r w:rsidR="00BB248C">
        <w:rPr>
          <w:rFonts w:ascii="Arial" w:hAnsi="Arial" w:cs="Arial"/>
          <w:bCs/>
          <w:sz w:val="20"/>
          <w:szCs w:val="20"/>
        </w:rPr>
        <w:t xml:space="preserve"> proyectos reside en que constituye </w:t>
      </w:r>
      <w:proofErr w:type="gramStart"/>
      <w:r w:rsidR="00285EA8">
        <w:rPr>
          <w:rFonts w:ascii="Arial" w:hAnsi="Arial" w:cs="Arial"/>
          <w:bCs/>
          <w:sz w:val="20"/>
          <w:szCs w:val="20"/>
        </w:rPr>
        <w:t xml:space="preserve">un </w:t>
      </w:r>
      <w:r w:rsidR="00BB248C">
        <w:rPr>
          <w:rFonts w:ascii="Arial" w:hAnsi="Arial" w:cs="Arial"/>
          <w:bCs/>
          <w:sz w:val="20"/>
          <w:szCs w:val="20"/>
        </w:rPr>
        <w:t>obra</w:t>
      </w:r>
      <w:proofErr w:type="gramEnd"/>
      <w:r w:rsidR="00BB248C">
        <w:rPr>
          <w:rFonts w:ascii="Arial" w:hAnsi="Arial" w:cs="Arial"/>
          <w:bCs/>
          <w:sz w:val="20"/>
          <w:szCs w:val="20"/>
        </w:rPr>
        <w:t xml:space="preserve"> </w:t>
      </w:r>
      <w:r w:rsidR="00285EA8">
        <w:rPr>
          <w:rFonts w:ascii="Arial" w:hAnsi="Arial" w:cs="Arial"/>
          <w:bCs/>
          <w:sz w:val="20"/>
          <w:szCs w:val="20"/>
        </w:rPr>
        <w:t xml:space="preserve">para operar en el </w:t>
      </w:r>
      <w:r w:rsidR="00BB248C">
        <w:rPr>
          <w:rFonts w:ascii="Arial" w:hAnsi="Arial" w:cs="Arial"/>
          <w:bCs/>
          <w:sz w:val="20"/>
          <w:szCs w:val="20"/>
        </w:rPr>
        <w:t>largo plazo, para el beneficio de distintas generaciones</w:t>
      </w:r>
      <w:r w:rsidR="00285EA8">
        <w:rPr>
          <w:rFonts w:ascii="Arial" w:hAnsi="Arial" w:cs="Arial"/>
          <w:bCs/>
          <w:sz w:val="20"/>
          <w:szCs w:val="20"/>
        </w:rPr>
        <w:t>.</w:t>
      </w:r>
    </w:p>
    <w:p w:rsidR="00E45F2D" w:rsidRDefault="00E45F2D" w:rsidP="007A7693">
      <w:pPr>
        <w:spacing w:line="360" w:lineRule="auto"/>
        <w:ind w:left="720"/>
        <w:jc w:val="both"/>
        <w:rPr>
          <w:rFonts w:ascii="Arial" w:hAnsi="Arial" w:cs="Arial"/>
          <w:sz w:val="20"/>
          <w:szCs w:val="20"/>
        </w:rPr>
      </w:pPr>
    </w:p>
    <w:p w:rsidR="00E45F2D" w:rsidRDefault="00E45F2D" w:rsidP="007A7693">
      <w:pPr>
        <w:spacing w:line="360" w:lineRule="auto"/>
        <w:ind w:left="720"/>
        <w:jc w:val="both"/>
        <w:rPr>
          <w:rFonts w:ascii="Arial" w:hAnsi="Arial" w:cs="Arial"/>
          <w:sz w:val="20"/>
          <w:szCs w:val="20"/>
        </w:rPr>
      </w:pPr>
    </w:p>
    <w:p w:rsidR="007A7693" w:rsidRPr="00AF57DE" w:rsidRDefault="007A7693" w:rsidP="00942F49">
      <w:pPr>
        <w:numPr>
          <w:ilvl w:val="0"/>
          <w:numId w:val="12"/>
        </w:numPr>
        <w:spacing w:line="360" w:lineRule="auto"/>
        <w:jc w:val="both"/>
        <w:rPr>
          <w:rFonts w:ascii="Arial" w:hAnsi="Arial" w:cs="Arial"/>
          <w:bCs/>
          <w:sz w:val="20"/>
          <w:szCs w:val="20"/>
        </w:rPr>
      </w:pPr>
      <w:r w:rsidRPr="00AF57DE">
        <w:rPr>
          <w:rFonts w:ascii="Arial" w:hAnsi="Arial" w:cs="Arial"/>
          <w:bCs/>
          <w:sz w:val="20"/>
          <w:szCs w:val="20"/>
        </w:rPr>
        <w:t xml:space="preserve">Refiérase a los recursos ejecutados en relación con los logros alcanzados. </w:t>
      </w:r>
    </w:p>
    <w:p w:rsidR="00BB248C" w:rsidRDefault="00BB248C" w:rsidP="007A7693">
      <w:pPr>
        <w:spacing w:line="360" w:lineRule="auto"/>
        <w:ind w:left="720"/>
        <w:jc w:val="both"/>
        <w:rPr>
          <w:rFonts w:ascii="Arial" w:hAnsi="Arial" w:cs="Arial"/>
          <w:sz w:val="20"/>
          <w:szCs w:val="20"/>
        </w:rPr>
      </w:pPr>
    </w:p>
    <w:p w:rsidR="007A7693" w:rsidRDefault="00BB248C" w:rsidP="007A7693">
      <w:pPr>
        <w:spacing w:line="360" w:lineRule="auto"/>
        <w:ind w:left="720"/>
        <w:jc w:val="both"/>
        <w:rPr>
          <w:rFonts w:ascii="Arial" w:hAnsi="Arial" w:cs="Arial"/>
          <w:sz w:val="20"/>
          <w:szCs w:val="20"/>
        </w:rPr>
      </w:pPr>
      <w:r>
        <w:rPr>
          <w:rFonts w:ascii="Arial" w:hAnsi="Arial" w:cs="Arial"/>
          <w:sz w:val="20"/>
          <w:szCs w:val="20"/>
        </w:rPr>
        <w:t>La meta en este caso, como realización de un proyecto en un territorio indígena, se cumplió en un 100%. Los recursos alcanzaron un 497%. En esto último, es necesario reiterar que el promedio establecido de 40 millones de colones por proyecto, es referencial, considerando un histórico que se había presentado antes de iniciar este PND y por tanto no puede supeditarse o encasillarse un proyecto a un monto base, pues no se estaría cumpliendo el objetivo del proyecto en sí.</w:t>
      </w:r>
      <w:r w:rsidR="00285EA8">
        <w:rPr>
          <w:rFonts w:ascii="Arial" w:hAnsi="Arial" w:cs="Arial"/>
          <w:sz w:val="20"/>
          <w:szCs w:val="20"/>
        </w:rPr>
        <w:t xml:space="preserve"> Los fondos girados en su momento, al igual que cualquier proyecto que autorice </w:t>
      </w:r>
      <w:proofErr w:type="spellStart"/>
      <w:r w:rsidR="00285EA8">
        <w:rPr>
          <w:rFonts w:ascii="Arial" w:hAnsi="Arial" w:cs="Arial"/>
          <w:sz w:val="20"/>
          <w:szCs w:val="20"/>
        </w:rPr>
        <w:t>Dinadeco</w:t>
      </w:r>
      <w:proofErr w:type="spellEnd"/>
      <w:r w:rsidR="00285EA8">
        <w:rPr>
          <w:rFonts w:ascii="Arial" w:hAnsi="Arial" w:cs="Arial"/>
          <w:sz w:val="20"/>
          <w:szCs w:val="20"/>
        </w:rPr>
        <w:t>, forma parte en definitiva de los recursos liberados por la Tesorería Nacional, por lo que la cantidad de proyectos autorizados y los montos girados, siempre van a estar limitados a un monto determinado que se libere para este fin, según lo que decida en forma unilateral, el Ministerio de Hacienda.</w:t>
      </w:r>
    </w:p>
    <w:p w:rsidR="00BB248C" w:rsidRDefault="00BB248C" w:rsidP="007A7693">
      <w:pPr>
        <w:spacing w:line="360" w:lineRule="auto"/>
        <w:ind w:left="720"/>
        <w:jc w:val="both"/>
        <w:rPr>
          <w:rFonts w:ascii="Arial" w:hAnsi="Arial" w:cs="Arial"/>
          <w:bCs/>
          <w:sz w:val="20"/>
          <w:szCs w:val="20"/>
        </w:rPr>
      </w:pPr>
    </w:p>
    <w:p w:rsidR="00BB248C" w:rsidRPr="00AF57DE" w:rsidRDefault="00BB248C" w:rsidP="007A7693">
      <w:pPr>
        <w:spacing w:line="360" w:lineRule="auto"/>
        <w:ind w:left="720"/>
        <w:jc w:val="both"/>
        <w:rPr>
          <w:rFonts w:ascii="Arial" w:hAnsi="Arial" w:cs="Arial"/>
          <w:bCs/>
          <w:sz w:val="20"/>
          <w:szCs w:val="20"/>
        </w:rPr>
      </w:pPr>
    </w:p>
    <w:p w:rsidR="007A7693" w:rsidRDefault="007A7693" w:rsidP="00942F49">
      <w:pPr>
        <w:numPr>
          <w:ilvl w:val="0"/>
          <w:numId w:val="12"/>
        </w:numPr>
        <w:spacing w:line="360" w:lineRule="auto"/>
        <w:jc w:val="both"/>
        <w:rPr>
          <w:rFonts w:ascii="Arial" w:hAnsi="Arial" w:cs="Arial"/>
          <w:bCs/>
          <w:sz w:val="20"/>
          <w:szCs w:val="20"/>
        </w:rPr>
      </w:pPr>
      <w:r w:rsidRPr="00AF57DE">
        <w:rPr>
          <w:rFonts w:ascii="Arial" w:hAnsi="Arial" w:cs="Arial"/>
          <w:bCs/>
          <w:sz w:val="20"/>
          <w:szCs w:val="20"/>
        </w:rPr>
        <w:t>Comente cómo la gestión desarrollada contribuyó</w:t>
      </w:r>
      <w:r>
        <w:rPr>
          <w:rFonts w:ascii="Arial" w:hAnsi="Arial" w:cs="Arial"/>
          <w:bCs/>
          <w:sz w:val="20"/>
          <w:szCs w:val="20"/>
        </w:rPr>
        <w:t xml:space="preserve"> con la misión institucional.</w:t>
      </w:r>
    </w:p>
    <w:p w:rsidR="007A7693" w:rsidRDefault="007A7693" w:rsidP="007A7693">
      <w:pPr>
        <w:spacing w:line="360" w:lineRule="auto"/>
        <w:ind w:left="720"/>
        <w:jc w:val="both"/>
        <w:rPr>
          <w:rFonts w:ascii="Arial" w:hAnsi="Arial" w:cs="Arial"/>
          <w:bCs/>
          <w:sz w:val="20"/>
          <w:szCs w:val="20"/>
        </w:rPr>
      </w:pPr>
    </w:p>
    <w:p w:rsidR="00285EA8" w:rsidRDefault="0093050A" w:rsidP="007A7693">
      <w:pPr>
        <w:spacing w:line="360" w:lineRule="auto"/>
        <w:ind w:left="720"/>
        <w:jc w:val="both"/>
        <w:rPr>
          <w:rFonts w:ascii="Arial" w:hAnsi="Arial" w:cs="Arial"/>
          <w:bCs/>
          <w:sz w:val="20"/>
          <w:szCs w:val="20"/>
        </w:rPr>
      </w:pPr>
      <w:r>
        <w:rPr>
          <w:rFonts w:ascii="Arial" w:hAnsi="Arial" w:cs="Arial"/>
          <w:bCs/>
          <w:sz w:val="20"/>
          <w:szCs w:val="20"/>
        </w:rPr>
        <w:t xml:space="preserve">Mediante este tipo de proyectos, </w:t>
      </w:r>
      <w:proofErr w:type="spellStart"/>
      <w:r>
        <w:rPr>
          <w:rFonts w:ascii="Arial" w:hAnsi="Arial" w:cs="Arial"/>
          <w:bCs/>
          <w:sz w:val="20"/>
          <w:szCs w:val="20"/>
        </w:rPr>
        <w:t>Dinadeco</w:t>
      </w:r>
      <w:proofErr w:type="spellEnd"/>
      <w:r>
        <w:rPr>
          <w:rFonts w:ascii="Arial" w:hAnsi="Arial" w:cs="Arial"/>
          <w:bCs/>
          <w:sz w:val="20"/>
          <w:szCs w:val="20"/>
        </w:rPr>
        <w:t xml:space="preserve"> contribuye con la organización y fortalecimiento de este tipo de organizaciones y también se fomenta el desarrollo local del territorio indígena.</w:t>
      </w:r>
    </w:p>
    <w:p w:rsidR="00285EA8" w:rsidRDefault="00285EA8" w:rsidP="007A7693">
      <w:pPr>
        <w:spacing w:line="360" w:lineRule="auto"/>
        <w:ind w:left="720"/>
        <w:jc w:val="both"/>
        <w:rPr>
          <w:rFonts w:ascii="Arial" w:hAnsi="Arial" w:cs="Arial"/>
          <w:bCs/>
          <w:sz w:val="20"/>
          <w:szCs w:val="20"/>
        </w:rPr>
      </w:pPr>
    </w:p>
    <w:p w:rsidR="007A7693" w:rsidRDefault="007A7693" w:rsidP="00942F49">
      <w:pPr>
        <w:numPr>
          <w:ilvl w:val="0"/>
          <w:numId w:val="12"/>
        </w:numPr>
        <w:spacing w:line="360" w:lineRule="auto"/>
        <w:jc w:val="both"/>
        <w:rPr>
          <w:rFonts w:ascii="Arial" w:hAnsi="Arial" w:cs="Arial"/>
          <w:bCs/>
          <w:sz w:val="20"/>
          <w:szCs w:val="20"/>
        </w:rPr>
      </w:pPr>
      <w:r w:rsidRPr="00420B0D">
        <w:rPr>
          <w:rFonts w:ascii="Arial" w:hAnsi="Arial" w:cs="Arial"/>
          <w:bCs/>
          <w:sz w:val="20"/>
          <w:szCs w:val="20"/>
        </w:rPr>
        <w:t xml:space="preserve">En caso que corresponda, refiérase a la vinculación de los logros del programa </w:t>
      </w:r>
      <w:r>
        <w:rPr>
          <w:rFonts w:ascii="Arial" w:hAnsi="Arial" w:cs="Arial"/>
          <w:bCs/>
          <w:sz w:val="20"/>
          <w:szCs w:val="20"/>
        </w:rPr>
        <w:t xml:space="preserve">o subprograma </w:t>
      </w:r>
      <w:r w:rsidRPr="00420B0D">
        <w:rPr>
          <w:rFonts w:ascii="Arial" w:hAnsi="Arial" w:cs="Arial"/>
          <w:bCs/>
          <w:sz w:val="20"/>
          <w:szCs w:val="20"/>
        </w:rPr>
        <w:t>con lo establecido en el Plan Nacional de Desarrollo</w:t>
      </w:r>
      <w:r>
        <w:rPr>
          <w:rFonts w:ascii="Arial" w:hAnsi="Arial" w:cs="Arial"/>
          <w:bCs/>
          <w:sz w:val="20"/>
          <w:szCs w:val="20"/>
        </w:rPr>
        <w:t xml:space="preserve"> 2015-2018</w:t>
      </w:r>
      <w:r w:rsidRPr="00420B0D">
        <w:rPr>
          <w:rFonts w:ascii="Arial" w:hAnsi="Arial" w:cs="Arial"/>
          <w:bCs/>
          <w:sz w:val="20"/>
          <w:szCs w:val="20"/>
        </w:rPr>
        <w:t xml:space="preserve">.  </w:t>
      </w:r>
    </w:p>
    <w:p w:rsidR="007A7693" w:rsidRDefault="007A7693" w:rsidP="007A7693">
      <w:pPr>
        <w:pStyle w:val="Sangra2detindependiente"/>
        <w:ind w:left="0"/>
        <w:jc w:val="both"/>
        <w:rPr>
          <w:rFonts w:ascii="Arial" w:hAnsi="Arial" w:cs="Arial"/>
          <w:b/>
          <w:bCs/>
          <w:sz w:val="20"/>
          <w:szCs w:val="20"/>
        </w:rPr>
      </w:pPr>
    </w:p>
    <w:p w:rsidR="007A7693" w:rsidRDefault="00D25FD3" w:rsidP="00344947">
      <w:pPr>
        <w:spacing w:line="360" w:lineRule="auto"/>
        <w:ind w:left="705"/>
        <w:jc w:val="both"/>
        <w:rPr>
          <w:rFonts w:ascii="Arial" w:hAnsi="Arial" w:cs="Arial"/>
          <w:bCs/>
          <w:sz w:val="20"/>
          <w:szCs w:val="20"/>
        </w:rPr>
      </w:pPr>
      <w:r>
        <w:rPr>
          <w:rFonts w:ascii="Arial" w:hAnsi="Arial" w:cs="Arial"/>
          <w:bCs/>
          <w:sz w:val="20"/>
          <w:szCs w:val="20"/>
        </w:rPr>
        <w:t xml:space="preserve">Los territorios indígenas son parte de las metas establecidas en el PND 2015-2018 y que en el caso de </w:t>
      </w:r>
      <w:proofErr w:type="spellStart"/>
      <w:r>
        <w:rPr>
          <w:rFonts w:ascii="Arial" w:hAnsi="Arial" w:cs="Arial"/>
          <w:bCs/>
          <w:sz w:val="20"/>
          <w:szCs w:val="20"/>
        </w:rPr>
        <w:t>Dinadeco</w:t>
      </w:r>
      <w:proofErr w:type="spellEnd"/>
      <w:r>
        <w:rPr>
          <w:rFonts w:ascii="Arial" w:hAnsi="Arial" w:cs="Arial"/>
          <w:bCs/>
          <w:sz w:val="20"/>
          <w:szCs w:val="20"/>
        </w:rPr>
        <w:t>, correspondía ejecutar un proyecto por año. Esta meta se ha logrado en todos los años, siendo también el terc</w:t>
      </w:r>
      <w:r w:rsidR="00494654">
        <w:rPr>
          <w:rFonts w:ascii="Arial" w:hAnsi="Arial" w:cs="Arial"/>
          <w:bCs/>
          <w:sz w:val="20"/>
          <w:szCs w:val="20"/>
        </w:rPr>
        <w:t xml:space="preserve">er territorio indígena beneficiado. Al igual que cualquier organización comunal, los territorios indígenas deben estar al día con sus obligaciones ante </w:t>
      </w:r>
      <w:proofErr w:type="spellStart"/>
      <w:r w:rsidR="00494654">
        <w:rPr>
          <w:rFonts w:ascii="Arial" w:hAnsi="Arial" w:cs="Arial"/>
          <w:bCs/>
          <w:sz w:val="20"/>
          <w:szCs w:val="20"/>
        </w:rPr>
        <w:t>Dinadeco</w:t>
      </w:r>
      <w:proofErr w:type="spellEnd"/>
      <w:r w:rsidR="00494654">
        <w:rPr>
          <w:rFonts w:ascii="Arial" w:hAnsi="Arial" w:cs="Arial"/>
          <w:bCs/>
          <w:sz w:val="20"/>
          <w:szCs w:val="20"/>
        </w:rPr>
        <w:t xml:space="preserve"> para acceder a fondos por proyectos. Con este tipo de iniciativas, se logran generar condiciones para una vida mejor en esos territorios, con proyectos adecuados a sus necesidades y particularidades culturales.</w:t>
      </w:r>
      <w:r>
        <w:rPr>
          <w:rFonts w:ascii="Arial" w:hAnsi="Arial" w:cs="Arial"/>
          <w:bCs/>
          <w:sz w:val="20"/>
          <w:szCs w:val="20"/>
        </w:rPr>
        <w:t xml:space="preserve"> </w:t>
      </w:r>
    </w:p>
    <w:p w:rsidR="007A7693" w:rsidRDefault="007A7693" w:rsidP="00344947">
      <w:pPr>
        <w:spacing w:line="360" w:lineRule="auto"/>
        <w:ind w:left="705"/>
        <w:jc w:val="both"/>
        <w:rPr>
          <w:rFonts w:ascii="Arial" w:hAnsi="Arial" w:cs="Arial"/>
          <w:bCs/>
          <w:sz w:val="20"/>
          <w:szCs w:val="20"/>
        </w:rPr>
      </w:pPr>
    </w:p>
    <w:p w:rsidR="007A7693" w:rsidRDefault="007A7693" w:rsidP="00344947">
      <w:pPr>
        <w:spacing w:line="360" w:lineRule="auto"/>
        <w:ind w:left="705"/>
        <w:jc w:val="both"/>
        <w:rPr>
          <w:rFonts w:ascii="Arial" w:hAnsi="Arial" w:cs="Arial"/>
          <w:bCs/>
          <w:sz w:val="20"/>
          <w:szCs w:val="20"/>
        </w:rPr>
      </w:pPr>
    </w:p>
    <w:p w:rsidR="007A7693" w:rsidRPr="007A7693" w:rsidRDefault="007A7693" w:rsidP="007A7693">
      <w:pPr>
        <w:spacing w:line="360" w:lineRule="auto"/>
        <w:ind w:left="705"/>
        <w:jc w:val="both"/>
        <w:rPr>
          <w:rFonts w:ascii="Arial" w:hAnsi="Arial" w:cs="Arial"/>
          <w:b/>
          <w:bCs/>
          <w:sz w:val="20"/>
          <w:szCs w:val="20"/>
        </w:rPr>
      </w:pPr>
      <w:r w:rsidRPr="007A7693">
        <w:rPr>
          <w:rFonts w:ascii="Arial" w:hAnsi="Arial" w:cs="Arial"/>
          <w:b/>
          <w:bCs/>
          <w:sz w:val="20"/>
          <w:szCs w:val="20"/>
        </w:rPr>
        <w:t xml:space="preserve">Indicador 3: Porcentaje de proyectos de infraestructura que cumplan su etapa de </w:t>
      </w:r>
      <w:r w:rsidR="00310207">
        <w:rPr>
          <w:rFonts w:ascii="Arial" w:hAnsi="Arial" w:cs="Arial"/>
          <w:b/>
          <w:bCs/>
          <w:sz w:val="20"/>
          <w:szCs w:val="20"/>
        </w:rPr>
        <w:t>opera</w:t>
      </w:r>
      <w:r w:rsidRPr="007A7693">
        <w:rPr>
          <w:rFonts w:ascii="Arial" w:hAnsi="Arial" w:cs="Arial"/>
          <w:b/>
          <w:bCs/>
          <w:sz w:val="20"/>
          <w:szCs w:val="20"/>
        </w:rPr>
        <w:t>ción:</w:t>
      </w:r>
    </w:p>
    <w:p w:rsidR="007A7693" w:rsidRDefault="007A7693" w:rsidP="007A7693">
      <w:pPr>
        <w:spacing w:line="360" w:lineRule="auto"/>
        <w:ind w:left="705"/>
        <w:jc w:val="both"/>
        <w:rPr>
          <w:rFonts w:ascii="Arial" w:hAnsi="Arial" w:cs="Arial"/>
          <w:bCs/>
          <w:sz w:val="20"/>
          <w:szCs w:val="20"/>
        </w:rPr>
      </w:pPr>
    </w:p>
    <w:p w:rsidR="007A7693" w:rsidRPr="00420B0D" w:rsidRDefault="008D3D0D" w:rsidP="00942F49">
      <w:pPr>
        <w:numPr>
          <w:ilvl w:val="0"/>
          <w:numId w:val="13"/>
        </w:numPr>
        <w:spacing w:line="360" w:lineRule="auto"/>
        <w:jc w:val="both"/>
        <w:rPr>
          <w:rFonts w:ascii="Arial" w:hAnsi="Arial" w:cs="Arial"/>
          <w:sz w:val="20"/>
          <w:szCs w:val="20"/>
        </w:rPr>
      </w:pPr>
      <w:r>
        <w:rPr>
          <w:rFonts w:ascii="Arial" w:hAnsi="Arial" w:cs="Arial"/>
          <w:bCs/>
          <w:sz w:val="20"/>
          <w:szCs w:val="20"/>
        </w:rPr>
        <w:t>Análisis de resultado del indicador</w:t>
      </w:r>
      <w:r w:rsidR="007A7693" w:rsidRPr="00420B0D">
        <w:rPr>
          <w:rFonts w:ascii="Arial" w:hAnsi="Arial" w:cs="Arial"/>
          <w:sz w:val="20"/>
          <w:szCs w:val="20"/>
        </w:rPr>
        <w:t>:</w:t>
      </w:r>
    </w:p>
    <w:p w:rsidR="007A7693" w:rsidRPr="00420B0D" w:rsidRDefault="007A7693" w:rsidP="007A7693">
      <w:pPr>
        <w:spacing w:line="360" w:lineRule="auto"/>
        <w:jc w:val="both"/>
        <w:rPr>
          <w:rFonts w:ascii="Arial" w:hAnsi="Arial" w:cs="Arial"/>
          <w:sz w:val="20"/>
          <w:szCs w:val="20"/>
        </w:rPr>
      </w:pPr>
    </w:p>
    <w:p w:rsidR="00310207" w:rsidRDefault="00310207" w:rsidP="00310207">
      <w:pPr>
        <w:spacing w:line="360" w:lineRule="auto"/>
        <w:jc w:val="both"/>
        <w:rPr>
          <w:rFonts w:ascii="Arial" w:hAnsi="Arial" w:cs="Arial"/>
          <w:sz w:val="20"/>
          <w:szCs w:val="20"/>
        </w:rPr>
      </w:pPr>
      <w:r>
        <w:rPr>
          <w:rFonts w:ascii="Arial" w:hAnsi="Arial" w:cs="Arial"/>
          <w:sz w:val="20"/>
          <w:szCs w:val="20"/>
        </w:rPr>
        <w:t xml:space="preserve">Para las visitas de verificación de operación de proyectos, se ha seguido un plan de trabajo para cada oficina regional, tratando de aprovechar al máximo los recursos, principalmente de viáticos y transporte, esenciales para la determinación in situ, que los proyectos están cumpliendo la función para la cual se crearon. </w:t>
      </w:r>
    </w:p>
    <w:p w:rsidR="00310207" w:rsidRDefault="00310207" w:rsidP="00310207">
      <w:pPr>
        <w:spacing w:line="360" w:lineRule="auto"/>
        <w:jc w:val="both"/>
        <w:rPr>
          <w:rFonts w:ascii="Arial" w:hAnsi="Arial" w:cs="Arial"/>
          <w:sz w:val="20"/>
          <w:szCs w:val="20"/>
        </w:rPr>
      </w:pPr>
    </w:p>
    <w:p w:rsidR="00F87C65" w:rsidRDefault="00310207" w:rsidP="00310207">
      <w:pPr>
        <w:spacing w:line="360" w:lineRule="auto"/>
        <w:jc w:val="both"/>
        <w:rPr>
          <w:rFonts w:ascii="Arial" w:hAnsi="Arial" w:cs="Arial"/>
          <w:sz w:val="20"/>
          <w:szCs w:val="20"/>
        </w:rPr>
      </w:pPr>
      <w:r>
        <w:rPr>
          <w:rFonts w:ascii="Arial" w:hAnsi="Arial" w:cs="Arial"/>
          <w:sz w:val="20"/>
          <w:szCs w:val="20"/>
        </w:rPr>
        <w:t>Desde el primer semestre</w:t>
      </w:r>
      <w:r w:rsidR="00FE5584">
        <w:rPr>
          <w:rFonts w:ascii="Arial" w:hAnsi="Arial" w:cs="Arial"/>
          <w:sz w:val="20"/>
          <w:szCs w:val="20"/>
        </w:rPr>
        <w:t xml:space="preserve">, ya el comportamiento de este indicador era muy positivo y al final se realizó la inspección a 79 proyectos de infraestructura, </w:t>
      </w:r>
      <w:r w:rsidR="00F87C65">
        <w:rPr>
          <w:rFonts w:ascii="Arial" w:hAnsi="Arial" w:cs="Arial"/>
          <w:sz w:val="20"/>
          <w:szCs w:val="20"/>
        </w:rPr>
        <w:t>de 53 que se tenían programados. Así las cosas, la meta se superó en un 50%. Esto no implica que la meta se haya subvalorado cuando se estableció, pues hay diversos factores que pueden afectar la realización de inspecciones, como los recortes a las partidas, aspectos de índole ambiental, así como disponibilidad de personal y la realización de otras actividades diversas atinentes al quehacer comunitario</w:t>
      </w:r>
      <w:r w:rsidR="004A449F">
        <w:rPr>
          <w:rFonts w:ascii="Arial" w:hAnsi="Arial" w:cs="Arial"/>
          <w:sz w:val="20"/>
          <w:szCs w:val="20"/>
        </w:rPr>
        <w:t>, que generan una estimación más conservadora.</w:t>
      </w:r>
    </w:p>
    <w:p w:rsidR="004A449F" w:rsidRDefault="004A449F" w:rsidP="00310207">
      <w:pPr>
        <w:spacing w:line="360" w:lineRule="auto"/>
        <w:jc w:val="both"/>
        <w:rPr>
          <w:rFonts w:ascii="Arial" w:hAnsi="Arial" w:cs="Arial"/>
          <w:sz w:val="20"/>
          <w:szCs w:val="20"/>
        </w:rPr>
      </w:pPr>
    </w:p>
    <w:p w:rsidR="004A449F" w:rsidRDefault="004A449F" w:rsidP="00310207">
      <w:pPr>
        <w:spacing w:line="360" w:lineRule="auto"/>
        <w:jc w:val="both"/>
        <w:rPr>
          <w:rFonts w:ascii="Arial" w:hAnsi="Arial" w:cs="Arial"/>
          <w:sz w:val="20"/>
          <w:szCs w:val="20"/>
        </w:rPr>
      </w:pPr>
      <w:r>
        <w:rPr>
          <w:rFonts w:ascii="Arial" w:hAnsi="Arial" w:cs="Arial"/>
          <w:sz w:val="20"/>
          <w:szCs w:val="20"/>
        </w:rPr>
        <w:lastRenderedPageBreak/>
        <w:t xml:space="preserve">El principal logro que se ha determinado con esta verificación, es que los proyectos están en funcionamiento y a su vez, las organizaciones comunales se dan cuenta que la gestión </w:t>
      </w:r>
      <w:proofErr w:type="spellStart"/>
      <w:r>
        <w:rPr>
          <w:rFonts w:ascii="Arial" w:hAnsi="Arial" w:cs="Arial"/>
          <w:sz w:val="20"/>
          <w:szCs w:val="20"/>
        </w:rPr>
        <w:t>Dinadeco</w:t>
      </w:r>
      <w:proofErr w:type="spellEnd"/>
      <w:r>
        <w:rPr>
          <w:rFonts w:ascii="Arial" w:hAnsi="Arial" w:cs="Arial"/>
          <w:sz w:val="20"/>
          <w:szCs w:val="20"/>
        </w:rPr>
        <w:t xml:space="preserve"> no termina con la finalización de la obra, sino que esa parte es solo el punto de partida para que el proyecto cumpla el cometido para el cual fue concebido.</w:t>
      </w:r>
    </w:p>
    <w:p w:rsidR="00F87C65" w:rsidRDefault="00F87C65" w:rsidP="00310207">
      <w:pPr>
        <w:spacing w:line="360" w:lineRule="auto"/>
        <w:jc w:val="both"/>
        <w:rPr>
          <w:rFonts w:ascii="Arial" w:hAnsi="Arial" w:cs="Arial"/>
          <w:sz w:val="20"/>
          <w:szCs w:val="20"/>
        </w:rPr>
      </w:pPr>
    </w:p>
    <w:p w:rsidR="007A7693" w:rsidRDefault="004A449F" w:rsidP="00310207">
      <w:pPr>
        <w:spacing w:line="360" w:lineRule="auto"/>
        <w:jc w:val="both"/>
        <w:rPr>
          <w:rFonts w:ascii="Arial" w:hAnsi="Arial" w:cs="Arial"/>
          <w:sz w:val="20"/>
          <w:szCs w:val="20"/>
        </w:rPr>
      </w:pPr>
      <w:r>
        <w:rPr>
          <w:rFonts w:ascii="Arial" w:hAnsi="Arial" w:cs="Arial"/>
          <w:sz w:val="20"/>
          <w:szCs w:val="20"/>
        </w:rPr>
        <w:t xml:space="preserve">Cabe destacar que, a partir del modelo de financiamiento de proyectos aprobado desde el 2016, todos los proyectos (infraestructura, compra de terreno, mobiliario y equipo), tienen contemplado la verificación de la etapa de operación, por lo </w:t>
      </w:r>
      <w:proofErr w:type="gramStart"/>
      <w:r>
        <w:rPr>
          <w:rFonts w:ascii="Arial" w:hAnsi="Arial" w:cs="Arial"/>
          <w:sz w:val="20"/>
          <w:szCs w:val="20"/>
        </w:rPr>
        <w:t>que</w:t>
      </w:r>
      <w:proofErr w:type="gramEnd"/>
      <w:r>
        <w:rPr>
          <w:rFonts w:ascii="Arial" w:hAnsi="Arial" w:cs="Arial"/>
          <w:sz w:val="20"/>
          <w:szCs w:val="20"/>
        </w:rPr>
        <w:t xml:space="preserve"> en la próxima administración presidencial, se deberá modificar esta meta para el 2019 o 2020, considerando la variedad de proyectos liquidados con el nuevo modelo, que entren en fase de operación. </w:t>
      </w:r>
    </w:p>
    <w:p w:rsidR="00310207" w:rsidRDefault="00310207" w:rsidP="00310207">
      <w:pPr>
        <w:spacing w:line="360" w:lineRule="auto"/>
        <w:jc w:val="both"/>
        <w:rPr>
          <w:rFonts w:ascii="Arial" w:hAnsi="Arial" w:cs="Arial"/>
          <w:sz w:val="20"/>
          <w:szCs w:val="20"/>
        </w:rPr>
      </w:pPr>
    </w:p>
    <w:p w:rsidR="007A7693" w:rsidRDefault="007A7693" w:rsidP="004A449F">
      <w:pPr>
        <w:numPr>
          <w:ilvl w:val="0"/>
          <w:numId w:val="13"/>
        </w:numPr>
        <w:spacing w:line="360" w:lineRule="auto"/>
        <w:jc w:val="both"/>
        <w:rPr>
          <w:rFonts w:ascii="Arial" w:hAnsi="Arial" w:cs="Arial"/>
          <w:bCs/>
          <w:sz w:val="20"/>
          <w:szCs w:val="20"/>
        </w:rPr>
      </w:pPr>
      <w:r w:rsidRPr="00AF57DE">
        <w:rPr>
          <w:rFonts w:ascii="Arial" w:hAnsi="Arial" w:cs="Arial"/>
          <w:bCs/>
          <w:sz w:val="20"/>
          <w:szCs w:val="20"/>
        </w:rPr>
        <w:t xml:space="preserve">Refiérase a los recursos ejecutados en relación con los logros alcanzados. </w:t>
      </w:r>
    </w:p>
    <w:p w:rsidR="004A449F" w:rsidRDefault="004A449F" w:rsidP="004A449F">
      <w:pPr>
        <w:spacing w:line="360" w:lineRule="auto"/>
        <w:jc w:val="both"/>
        <w:rPr>
          <w:rFonts w:ascii="Arial" w:hAnsi="Arial" w:cs="Arial"/>
          <w:bCs/>
          <w:sz w:val="20"/>
          <w:szCs w:val="20"/>
        </w:rPr>
      </w:pPr>
    </w:p>
    <w:p w:rsidR="004A449F" w:rsidRPr="004A449F" w:rsidRDefault="009A7FE1" w:rsidP="004A449F">
      <w:pPr>
        <w:spacing w:line="360" w:lineRule="auto"/>
        <w:jc w:val="both"/>
        <w:rPr>
          <w:rFonts w:ascii="Arial" w:hAnsi="Arial" w:cs="Arial"/>
          <w:bCs/>
          <w:sz w:val="20"/>
          <w:szCs w:val="20"/>
        </w:rPr>
      </w:pPr>
      <w:r>
        <w:rPr>
          <w:rFonts w:ascii="Arial" w:hAnsi="Arial" w:cs="Arial"/>
          <w:bCs/>
          <w:sz w:val="20"/>
          <w:szCs w:val="20"/>
        </w:rPr>
        <w:t>Los recursos reflejados, en el Cuadro 2.2, corresponden a los montos de los proyectos verificados. Los recursos del presupuesto 2017, corresponden a los salarios de promotores y choferes de las direcciones regionales y otros como viáticos, combustible y papelería.</w:t>
      </w:r>
      <w:r w:rsidR="000E2F20">
        <w:rPr>
          <w:rFonts w:ascii="Arial" w:hAnsi="Arial" w:cs="Arial"/>
          <w:bCs/>
          <w:sz w:val="20"/>
          <w:szCs w:val="20"/>
        </w:rPr>
        <w:t xml:space="preserve"> Pese a </w:t>
      </w:r>
      <w:proofErr w:type="gramStart"/>
      <w:r w:rsidR="000E2F20">
        <w:rPr>
          <w:rFonts w:ascii="Arial" w:hAnsi="Arial" w:cs="Arial"/>
          <w:bCs/>
          <w:sz w:val="20"/>
          <w:szCs w:val="20"/>
        </w:rPr>
        <w:t>que</w:t>
      </w:r>
      <w:proofErr w:type="gramEnd"/>
      <w:r w:rsidR="000E2F20">
        <w:rPr>
          <w:rFonts w:ascii="Arial" w:hAnsi="Arial" w:cs="Arial"/>
          <w:bCs/>
          <w:sz w:val="20"/>
          <w:szCs w:val="20"/>
        </w:rPr>
        <w:t xml:space="preserve"> en el caso de viáticos y combustible, los presupuestos aprobados siempre son inferiores a lo requerido, se pudo generar el mayor aprovechamiento posible para el logro alcanzado.</w:t>
      </w:r>
    </w:p>
    <w:p w:rsidR="004A449F" w:rsidRPr="00AF57DE" w:rsidRDefault="004A449F" w:rsidP="004A449F">
      <w:pPr>
        <w:spacing w:line="360" w:lineRule="auto"/>
        <w:ind w:left="360"/>
        <w:jc w:val="both"/>
        <w:rPr>
          <w:rFonts w:ascii="Arial" w:hAnsi="Arial" w:cs="Arial"/>
          <w:bCs/>
          <w:sz w:val="20"/>
          <w:szCs w:val="20"/>
        </w:rPr>
      </w:pPr>
    </w:p>
    <w:p w:rsidR="000E2F20" w:rsidRDefault="007A7693" w:rsidP="000E2F20">
      <w:pPr>
        <w:numPr>
          <w:ilvl w:val="0"/>
          <w:numId w:val="13"/>
        </w:numPr>
        <w:spacing w:line="360" w:lineRule="auto"/>
        <w:jc w:val="both"/>
        <w:rPr>
          <w:rFonts w:ascii="Arial" w:hAnsi="Arial" w:cs="Arial"/>
          <w:bCs/>
          <w:sz w:val="20"/>
          <w:szCs w:val="20"/>
        </w:rPr>
      </w:pPr>
      <w:r w:rsidRPr="00AF57DE">
        <w:rPr>
          <w:rFonts w:ascii="Arial" w:hAnsi="Arial" w:cs="Arial"/>
          <w:bCs/>
          <w:sz w:val="20"/>
          <w:szCs w:val="20"/>
        </w:rPr>
        <w:t>Comente cómo la gestión desarrollada contribuyó</w:t>
      </w:r>
      <w:r>
        <w:rPr>
          <w:rFonts w:ascii="Arial" w:hAnsi="Arial" w:cs="Arial"/>
          <w:bCs/>
          <w:sz w:val="20"/>
          <w:szCs w:val="20"/>
        </w:rPr>
        <w:t xml:space="preserve"> con la misión institucional.</w:t>
      </w:r>
    </w:p>
    <w:p w:rsidR="000E2F20" w:rsidRDefault="000E2F20" w:rsidP="000E2F20">
      <w:pPr>
        <w:spacing w:line="360" w:lineRule="auto"/>
        <w:jc w:val="both"/>
        <w:rPr>
          <w:rFonts w:ascii="Arial" w:hAnsi="Arial" w:cs="Arial"/>
          <w:bCs/>
          <w:sz w:val="20"/>
          <w:szCs w:val="20"/>
        </w:rPr>
      </w:pPr>
    </w:p>
    <w:p w:rsidR="000E2F20" w:rsidRPr="000E2F20" w:rsidRDefault="000E2F20" w:rsidP="000E2F20">
      <w:pPr>
        <w:spacing w:line="360" w:lineRule="auto"/>
        <w:jc w:val="both"/>
        <w:rPr>
          <w:rFonts w:ascii="Arial" w:hAnsi="Arial" w:cs="Arial"/>
          <w:bCs/>
          <w:sz w:val="20"/>
          <w:szCs w:val="20"/>
        </w:rPr>
      </w:pPr>
      <w:r>
        <w:rPr>
          <w:rFonts w:ascii="Arial" w:hAnsi="Arial" w:cs="Arial"/>
          <w:bCs/>
          <w:sz w:val="20"/>
          <w:szCs w:val="20"/>
        </w:rPr>
        <w:t xml:space="preserve">Esta gestión se ha constituido en evidencia del cumplimiento del principio de evaluación de los programas de desarrollo de la comunidad, contemplado en la ya citada Ley, lo cual está en consonancia con la función facilitadora de </w:t>
      </w:r>
      <w:proofErr w:type="spellStart"/>
      <w:r>
        <w:rPr>
          <w:rFonts w:ascii="Arial" w:hAnsi="Arial" w:cs="Arial"/>
          <w:bCs/>
          <w:sz w:val="20"/>
          <w:szCs w:val="20"/>
        </w:rPr>
        <w:t>Dinadeco</w:t>
      </w:r>
      <w:proofErr w:type="spellEnd"/>
      <w:r>
        <w:rPr>
          <w:rFonts w:ascii="Arial" w:hAnsi="Arial" w:cs="Arial"/>
          <w:bCs/>
          <w:sz w:val="20"/>
          <w:szCs w:val="20"/>
        </w:rPr>
        <w:t xml:space="preserve"> en la promoción, organización y fortalecimiento de las organizaciones de desarrollo comunal.</w:t>
      </w:r>
    </w:p>
    <w:p w:rsidR="000E2F20" w:rsidRDefault="000E2F20" w:rsidP="007A7693">
      <w:pPr>
        <w:spacing w:line="360" w:lineRule="auto"/>
        <w:ind w:left="720"/>
        <w:jc w:val="both"/>
        <w:rPr>
          <w:rFonts w:ascii="Arial" w:hAnsi="Arial" w:cs="Arial"/>
          <w:bCs/>
          <w:sz w:val="20"/>
          <w:szCs w:val="20"/>
        </w:rPr>
      </w:pPr>
    </w:p>
    <w:p w:rsidR="007A7693" w:rsidRDefault="007A7693" w:rsidP="00942F49">
      <w:pPr>
        <w:numPr>
          <w:ilvl w:val="0"/>
          <w:numId w:val="13"/>
        </w:numPr>
        <w:spacing w:line="360" w:lineRule="auto"/>
        <w:jc w:val="both"/>
        <w:rPr>
          <w:rFonts w:ascii="Arial" w:hAnsi="Arial" w:cs="Arial"/>
          <w:bCs/>
          <w:sz w:val="20"/>
          <w:szCs w:val="20"/>
        </w:rPr>
      </w:pPr>
      <w:r w:rsidRPr="00420B0D">
        <w:rPr>
          <w:rFonts w:ascii="Arial" w:hAnsi="Arial" w:cs="Arial"/>
          <w:bCs/>
          <w:sz w:val="20"/>
          <w:szCs w:val="20"/>
        </w:rPr>
        <w:t xml:space="preserve">En caso que corresponda, refiérase a la vinculación de los logros del programa </w:t>
      </w:r>
      <w:r>
        <w:rPr>
          <w:rFonts w:ascii="Arial" w:hAnsi="Arial" w:cs="Arial"/>
          <w:bCs/>
          <w:sz w:val="20"/>
          <w:szCs w:val="20"/>
        </w:rPr>
        <w:t xml:space="preserve">o subprograma </w:t>
      </w:r>
      <w:r w:rsidRPr="00420B0D">
        <w:rPr>
          <w:rFonts w:ascii="Arial" w:hAnsi="Arial" w:cs="Arial"/>
          <w:bCs/>
          <w:sz w:val="20"/>
          <w:szCs w:val="20"/>
        </w:rPr>
        <w:t>con lo establecido en el Plan Nacional de Desarrollo</w:t>
      </w:r>
      <w:r>
        <w:rPr>
          <w:rFonts w:ascii="Arial" w:hAnsi="Arial" w:cs="Arial"/>
          <w:bCs/>
          <w:sz w:val="20"/>
          <w:szCs w:val="20"/>
        </w:rPr>
        <w:t xml:space="preserve"> 2015-2018</w:t>
      </w:r>
      <w:r w:rsidRPr="00420B0D">
        <w:rPr>
          <w:rFonts w:ascii="Arial" w:hAnsi="Arial" w:cs="Arial"/>
          <w:bCs/>
          <w:sz w:val="20"/>
          <w:szCs w:val="20"/>
        </w:rPr>
        <w:t xml:space="preserve">.  </w:t>
      </w:r>
    </w:p>
    <w:p w:rsidR="007A7693" w:rsidRDefault="007A7693" w:rsidP="007A7693">
      <w:pPr>
        <w:pStyle w:val="Sangra2detindependiente"/>
        <w:ind w:left="0"/>
        <w:jc w:val="both"/>
        <w:rPr>
          <w:rFonts w:ascii="Arial" w:hAnsi="Arial" w:cs="Arial"/>
          <w:b/>
          <w:bCs/>
          <w:sz w:val="20"/>
          <w:szCs w:val="20"/>
        </w:rPr>
      </w:pPr>
    </w:p>
    <w:p w:rsidR="009B0C33" w:rsidRPr="00D17E21" w:rsidRDefault="00D17E21" w:rsidP="007A7693">
      <w:pPr>
        <w:pStyle w:val="Sangra2detindependiente"/>
        <w:ind w:left="0"/>
        <w:jc w:val="both"/>
        <w:rPr>
          <w:rFonts w:ascii="Arial" w:hAnsi="Arial" w:cs="Arial"/>
          <w:bCs/>
          <w:sz w:val="20"/>
          <w:szCs w:val="20"/>
        </w:rPr>
      </w:pPr>
      <w:r w:rsidRPr="00D17E21">
        <w:rPr>
          <w:rFonts w:ascii="Arial" w:hAnsi="Arial" w:cs="Arial"/>
          <w:bCs/>
          <w:sz w:val="20"/>
          <w:szCs w:val="20"/>
        </w:rPr>
        <w:t xml:space="preserve">Este </w:t>
      </w:r>
      <w:r w:rsidR="00087429">
        <w:rPr>
          <w:rFonts w:ascii="Arial" w:hAnsi="Arial" w:cs="Arial"/>
          <w:bCs/>
          <w:sz w:val="20"/>
          <w:szCs w:val="20"/>
        </w:rPr>
        <w:t>indicador</w:t>
      </w:r>
      <w:r w:rsidRPr="00D17E21">
        <w:rPr>
          <w:rFonts w:ascii="Arial" w:hAnsi="Arial" w:cs="Arial"/>
          <w:bCs/>
          <w:sz w:val="20"/>
          <w:szCs w:val="20"/>
        </w:rPr>
        <w:t xml:space="preserve"> no está contemplado dentro del PND 2015-2018</w:t>
      </w:r>
    </w:p>
    <w:p w:rsidR="007A7693" w:rsidRDefault="007A7693" w:rsidP="00344947">
      <w:pPr>
        <w:spacing w:line="360" w:lineRule="auto"/>
        <w:ind w:left="705"/>
        <w:jc w:val="both"/>
        <w:rPr>
          <w:rFonts w:ascii="Arial" w:hAnsi="Arial" w:cs="Arial"/>
          <w:bCs/>
          <w:sz w:val="20"/>
          <w:szCs w:val="20"/>
        </w:rPr>
      </w:pPr>
    </w:p>
    <w:p w:rsidR="007A7693" w:rsidRDefault="007A7693" w:rsidP="00344947">
      <w:pPr>
        <w:spacing w:line="360" w:lineRule="auto"/>
        <w:ind w:left="705"/>
        <w:jc w:val="both"/>
        <w:rPr>
          <w:rFonts w:ascii="Arial" w:hAnsi="Arial" w:cs="Arial"/>
          <w:bCs/>
          <w:sz w:val="20"/>
          <w:szCs w:val="20"/>
        </w:rPr>
      </w:pPr>
    </w:p>
    <w:p w:rsidR="00087429" w:rsidRDefault="00087429" w:rsidP="00344947">
      <w:pPr>
        <w:spacing w:line="360" w:lineRule="auto"/>
        <w:ind w:left="705"/>
        <w:jc w:val="both"/>
        <w:rPr>
          <w:rFonts w:ascii="Arial" w:hAnsi="Arial" w:cs="Arial"/>
          <w:bCs/>
          <w:sz w:val="20"/>
          <w:szCs w:val="20"/>
        </w:rPr>
      </w:pPr>
    </w:p>
    <w:p w:rsidR="00087429" w:rsidRDefault="00087429" w:rsidP="00344947">
      <w:pPr>
        <w:spacing w:line="360" w:lineRule="auto"/>
        <w:ind w:left="705"/>
        <w:jc w:val="both"/>
        <w:rPr>
          <w:rFonts w:ascii="Arial" w:hAnsi="Arial" w:cs="Arial"/>
          <w:bCs/>
          <w:sz w:val="20"/>
          <w:szCs w:val="20"/>
        </w:rPr>
      </w:pPr>
    </w:p>
    <w:p w:rsidR="00087429" w:rsidRDefault="00087429" w:rsidP="00344947">
      <w:pPr>
        <w:spacing w:line="360" w:lineRule="auto"/>
        <w:ind w:left="705"/>
        <w:jc w:val="both"/>
        <w:rPr>
          <w:rFonts w:ascii="Arial" w:hAnsi="Arial" w:cs="Arial"/>
          <w:bCs/>
          <w:sz w:val="20"/>
          <w:szCs w:val="20"/>
        </w:rPr>
      </w:pPr>
    </w:p>
    <w:p w:rsidR="007A7693" w:rsidRDefault="007A7693" w:rsidP="00344947">
      <w:pPr>
        <w:spacing w:line="360" w:lineRule="auto"/>
        <w:ind w:left="705"/>
        <w:jc w:val="both"/>
        <w:rPr>
          <w:rFonts w:ascii="Arial" w:hAnsi="Arial" w:cs="Arial"/>
          <w:bCs/>
          <w:sz w:val="20"/>
          <w:szCs w:val="20"/>
        </w:rPr>
      </w:pPr>
      <w:r>
        <w:rPr>
          <w:rFonts w:ascii="Arial" w:hAnsi="Arial" w:cs="Arial"/>
          <w:b/>
          <w:sz w:val="20"/>
          <w:szCs w:val="20"/>
        </w:rPr>
        <w:lastRenderedPageBreak/>
        <w:t>Indicador 4: Porcentaje de proyectos liquidados</w:t>
      </w:r>
    </w:p>
    <w:p w:rsidR="007A7693" w:rsidRDefault="007A7693" w:rsidP="007A7693">
      <w:pPr>
        <w:spacing w:line="360" w:lineRule="auto"/>
        <w:ind w:left="705"/>
        <w:jc w:val="both"/>
        <w:rPr>
          <w:rFonts w:ascii="Arial" w:hAnsi="Arial" w:cs="Arial"/>
          <w:bCs/>
          <w:sz w:val="20"/>
          <w:szCs w:val="20"/>
        </w:rPr>
      </w:pPr>
    </w:p>
    <w:p w:rsidR="007A7693" w:rsidRPr="00420B0D" w:rsidRDefault="00087429" w:rsidP="00942F49">
      <w:pPr>
        <w:numPr>
          <w:ilvl w:val="0"/>
          <w:numId w:val="14"/>
        </w:numPr>
        <w:spacing w:line="360" w:lineRule="auto"/>
        <w:jc w:val="both"/>
        <w:rPr>
          <w:rFonts w:ascii="Arial" w:hAnsi="Arial" w:cs="Arial"/>
          <w:sz w:val="20"/>
          <w:szCs w:val="20"/>
        </w:rPr>
      </w:pPr>
      <w:r>
        <w:rPr>
          <w:rFonts w:ascii="Arial" w:hAnsi="Arial" w:cs="Arial"/>
          <w:bCs/>
          <w:sz w:val="20"/>
          <w:szCs w:val="20"/>
        </w:rPr>
        <w:t>Análisis de resultado del indicador</w:t>
      </w:r>
      <w:r w:rsidR="007A7693" w:rsidRPr="00420B0D">
        <w:rPr>
          <w:rFonts w:ascii="Arial" w:hAnsi="Arial" w:cs="Arial"/>
          <w:sz w:val="20"/>
          <w:szCs w:val="20"/>
        </w:rPr>
        <w:t>:</w:t>
      </w:r>
    </w:p>
    <w:p w:rsidR="007A7693" w:rsidRDefault="007A7693" w:rsidP="007A7693">
      <w:pPr>
        <w:spacing w:line="360" w:lineRule="auto"/>
        <w:ind w:left="720"/>
        <w:jc w:val="both"/>
        <w:rPr>
          <w:rFonts w:ascii="Arial" w:hAnsi="Arial" w:cs="Arial"/>
          <w:sz w:val="20"/>
          <w:szCs w:val="20"/>
        </w:rPr>
      </w:pPr>
    </w:p>
    <w:p w:rsidR="00683981" w:rsidRDefault="00C6706F" w:rsidP="007A7693">
      <w:pPr>
        <w:spacing w:line="360" w:lineRule="auto"/>
        <w:ind w:left="720"/>
        <w:jc w:val="both"/>
        <w:rPr>
          <w:rFonts w:ascii="Arial" w:hAnsi="Arial" w:cs="Arial"/>
          <w:sz w:val="20"/>
          <w:szCs w:val="20"/>
        </w:rPr>
      </w:pPr>
      <w:r>
        <w:rPr>
          <w:rFonts w:ascii="Arial" w:hAnsi="Arial" w:cs="Arial"/>
          <w:sz w:val="20"/>
          <w:szCs w:val="20"/>
        </w:rPr>
        <w:t>La meta asociada a este indicador estuvo cerca de alcanzarse, pues se obtuvo un 93% de cumplimiento</w:t>
      </w:r>
      <w:r w:rsidR="002214B5">
        <w:rPr>
          <w:rFonts w:ascii="Arial" w:hAnsi="Arial" w:cs="Arial"/>
          <w:sz w:val="20"/>
          <w:szCs w:val="20"/>
        </w:rPr>
        <w:t xml:space="preserve">, pues en lugar de alcanzar la liquidación de 52 o 53 proyectos (80% de los proyectos pendientes de liquidar), se acreditó la liquidación de </w:t>
      </w:r>
      <w:r w:rsidR="004E52CF">
        <w:rPr>
          <w:rFonts w:ascii="Arial" w:hAnsi="Arial" w:cs="Arial"/>
          <w:sz w:val="20"/>
          <w:szCs w:val="20"/>
        </w:rPr>
        <w:t>49. Cabe señalar que los proyectos como tal</w:t>
      </w:r>
      <w:r w:rsidR="006216C9">
        <w:rPr>
          <w:rFonts w:ascii="Arial" w:hAnsi="Arial" w:cs="Arial"/>
          <w:sz w:val="20"/>
          <w:szCs w:val="20"/>
        </w:rPr>
        <w:t>es</w:t>
      </w:r>
      <w:r w:rsidR="004E52CF">
        <w:rPr>
          <w:rFonts w:ascii="Arial" w:hAnsi="Arial" w:cs="Arial"/>
          <w:sz w:val="20"/>
          <w:szCs w:val="20"/>
        </w:rPr>
        <w:t xml:space="preserve"> se realizaron en las diversas comunidades. Los atrasos en la liquidación, surgen por razones como la no presentación oportuna </w:t>
      </w:r>
      <w:r w:rsidR="004E52CF">
        <w:rPr>
          <w:rFonts w:ascii="Arial" w:hAnsi="Arial" w:cs="Arial"/>
          <w:sz w:val="20"/>
          <w:szCs w:val="20"/>
        </w:rPr>
        <w:t>por parte de la organización comunal</w:t>
      </w:r>
      <w:r w:rsidR="004E52CF">
        <w:rPr>
          <w:rFonts w:ascii="Arial" w:hAnsi="Arial" w:cs="Arial"/>
          <w:sz w:val="20"/>
          <w:szCs w:val="20"/>
        </w:rPr>
        <w:t>, de los documentos probatorios del uso de los recursos girados; de presentación incompleta, que origina subsanes que deben corregir las organizaciones comunales.</w:t>
      </w:r>
    </w:p>
    <w:p w:rsidR="004E52CF" w:rsidRDefault="004E52CF" w:rsidP="007A7693">
      <w:pPr>
        <w:spacing w:line="360" w:lineRule="auto"/>
        <w:ind w:left="720"/>
        <w:jc w:val="both"/>
        <w:rPr>
          <w:rFonts w:ascii="Arial" w:hAnsi="Arial" w:cs="Arial"/>
          <w:sz w:val="20"/>
          <w:szCs w:val="20"/>
        </w:rPr>
      </w:pPr>
    </w:p>
    <w:p w:rsidR="004E52CF" w:rsidRDefault="004E52CF" w:rsidP="007A7693">
      <w:pPr>
        <w:spacing w:line="360" w:lineRule="auto"/>
        <w:ind w:left="720"/>
        <w:jc w:val="both"/>
        <w:rPr>
          <w:rFonts w:ascii="Arial" w:hAnsi="Arial" w:cs="Arial"/>
          <w:sz w:val="20"/>
          <w:szCs w:val="20"/>
        </w:rPr>
      </w:pPr>
      <w:r>
        <w:rPr>
          <w:rFonts w:ascii="Arial" w:hAnsi="Arial" w:cs="Arial"/>
          <w:sz w:val="20"/>
          <w:szCs w:val="20"/>
        </w:rPr>
        <w:t>El departamento de Financiamiento Comunitario tiene la responsabilidad de analizar la información y verificar que cumple con lo necesario para remitir la liquidación al Consejo de Desarrollo de la Comunidad</w:t>
      </w:r>
      <w:r w:rsidR="00371D1B">
        <w:rPr>
          <w:rFonts w:ascii="Arial" w:hAnsi="Arial" w:cs="Arial"/>
          <w:sz w:val="20"/>
          <w:szCs w:val="20"/>
        </w:rPr>
        <w:t xml:space="preserve"> (CNDC)</w:t>
      </w:r>
      <w:r>
        <w:rPr>
          <w:rFonts w:ascii="Arial" w:hAnsi="Arial" w:cs="Arial"/>
          <w:sz w:val="20"/>
          <w:szCs w:val="20"/>
        </w:rPr>
        <w:t xml:space="preserve">, para que resuelva su aprobación como proyecto liquidado. Pero también las oficinas regionales deben hacer una verificación preliminar de los documentos y en los casos que se determinen subsanes, son informados para que brinden seguimiento a la organización comunal correspondiente, de forma que la junta directiva de la misma resuelva el subsane y se culmine con la liquidación del proyecto. </w:t>
      </w:r>
    </w:p>
    <w:p w:rsidR="00683981" w:rsidRDefault="00683981" w:rsidP="007A7693">
      <w:pPr>
        <w:spacing w:line="360" w:lineRule="auto"/>
        <w:ind w:left="720"/>
        <w:jc w:val="both"/>
        <w:rPr>
          <w:rFonts w:ascii="Arial" w:hAnsi="Arial" w:cs="Arial"/>
          <w:sz w:val="20"/>
          <w:szCs w:val="20"/>
        </w:rPr>
      </w:pPr>
    </w:p>
    <w:p w:rsidR="006216C9" w:rsidRDefault="006216C9" w:rsidP="007A7693">
      <w:pPr>
        <w:spacing w:line="360" w:lineRule="auto"/>
        <w:ind w:left="720"/>
        <w:jc w:val="both"/>
        <w:rPr>
          <w:rFonts w:ascii="Arial" w:hAnsi="Arial" w:cs="Arial"/>
          <w:sz w:val="20"/>
          <w:szCs w:val="20"/>
        </w:rPr>
      </w:pPr>
      <w:r>
        <w:rPr>
          <w:rFonts w:ascii="Arial" w:hAnsi="Arial" w:cs="Arial"/>
          <w:sz w:val="20"/>
          <w:szCs w:val="20"/>
        </w:rPr>
        <w:t xml:space="preserve">Solo en caso de que un proyecto quedara inconcluso por manejo inadecuado de fondos, o que del todo no se realizara, sí existiría una afectación a la población. </w:t>
      </w:r>
    </w:p>
    <w:p w:rsidR="006216C9" w:rsidRDefault="006216C9" w:rsidP="007A7693">
      <w:pPr>
        <w:spacing w:line="360" w:lineRule="auto"/>
        <w:ind w:left="720"/>
        <w:jc w:val="both"/>
        <w:rPr>
          <w:rFonts w:ascii="Arial" w:hAnsi="Arial" w:cs="Arial"/>
          <w:sz w:val="20"/>
          <w:szCs w:val="20"/>
        </w:rPr>
      </w:pPr>
    </w:p>
    <w:p w:rsidR="006216C9" w:rsidRDefault="006216C9" w:rsidP="007A7693">
      <w:pPr>
        <w:spacing w:line="360" w:lineRule="auto"/>
        <w:ind w:left="720"/>
        <w:jc w:val="both"/>
        <w:rPr>
          <w:rFonts w:ascii="Arial" w:hAnsi="Arial" w:cs="Arial"/>
          <w:sz w:val="20"/>
          <w:szCs w:val="20"/>
        </w:rPr>
      </w:pPr>
      <w:r>
        <w:rPr>
          <w:rFonts w:ascii="Arial" w:hAnsi="Arial" w:cs="Arial"/>
          <w:sz w:val="20"/>
          <w:szCs w:val="20"/>
        </w:rPr>
        <w:t xml:space="preserve">La gestión continua en torno a los proyectos, contempla la visita de inspección durante su ejecución, lo cual es algo que la Contraloría General de la República ha recomendado plasmar en los expedientes. Los esfuerzos continúan en la dirección de </w:t>
      </w:r>
      <w:proofErr w:type="spellStart"/>
      <w:r>
        <w:rPr>
          <w:rFonts w:ascii="Arial" w:hAnsi="Arial" w:cs="Arial"/>
          <w:sz w:val="20"/>
          <w:szCs w:val="20"/>
        </w:rPr>
        <w:t>que</w:t>
      </w:r>
      <w:proofErr w:type="spellEnd"/>
      <w:r>
        <w:rPr>
          <w:rFonts w:ascii="Arial" w:hAnsi="Arial" w:cs="Arial"/>
          <w:sz w:val="20"/>
          <w:szCs w:val="20"/>
        </w:rPr>
        <w:t xml:space="preserve"> la totalidad de los proyectos financiados, se liquiden dentro del periodo establecido, aunque para ello, es importante que se asignen a </w:t>
      </w:r>
      <w:proofErr w:type="spellStart"/>
      <w:r>
        <w:rPr>
          <w:rFonts w:ascii="Arial" w:hAnsi="Arial" w:cs="Arial"/>
          <w:sz w:val="20"/>
          <w:szCs w:val="20"/>
        </w:rPr>
        <w:t>Dinadeco</w:t>
      </w:r>
      <w:proofErr w:type="spellEnd"/>
      <w:r>
        <w:rPr>
          <w:rFonts w:ascii="Arial" w:hAnsi="Arial" w:cs="Arial"/>
          <w:sz w:val="20"/>
          <w:szCs w:val="20"/>
        </w:rPr>
        <w:t xml:space="preserve">, los recursos humanos y materiales necesarios, para cumplir con sus funciones.  </w:t>
      </w:r>
    </w:p>
    <w:p w:rsidR="006216C9" w:rsidRDefault="006216C9" w:rsidP="007A7693">
      <w:pPr>
        <w:spacing w:line="360" w:lineRule="auto"/>
        <w:ind w:left="720"/>
        <w:jc w:val="both"/>
        <w:rPr>
          <w:rFonts w:ascii="Arial" w:hAnsi="Arial" w:cs="Arial"/>
          <w:sz w:val="20"/>
          <w:szCs w:val="20"/>
        </w:rPr>
      </w:pPr>
    </w:p>
    <w:p w:rsidR="004E52CF" w:rsidRDefault="004E52CF" w:rsidP="007A7693">
      <w:pPr>
        <w:spacing w:line="360" w:lineRule="auto"/>
        <w:ind w:left="720"/>
        <w:jc w:val="both"/>
        <w:rPr>
          <w:rFonts w:ascii="Arial" w:hAnsi="Arial" w:cs="Arial"/>
          <w:sz w:val="20"/>
          <w:szCs w:val="20"/>
        </w:rPr>
      </w:pPr>
      <w:r>
        <w:rPr>
          <w:rFonts w:ascii="Arial" w:hAnsi="Arial" w:cs="Arial"/>
          <w:sz w:val="20"/>
          <w:szCs w:val="20"/>
        </w:rPr>
        <w:t xml:space="preserve">Cabe señalar que el seguimiento de este indicador se lleva desde hace varios años y el crecimiento de la meta evidencia que cada vez son más los proyectos </w:t>
      </w:r>
      <w:r w:rsidR="0060081D">
        <w:rPr>
          <w:rFonts w:ascii="Arial" w:hAnsi="Arial" w:cs="Arial"/>
          <w:sz w:val="20"/>
          <w:szCs w:val="20"/>
        </w:rPr>
        <w:t xml:space="preserve">que se liquidan en plazos </w:t>
      </w:r>
      <w:r w:rsidR="00786F0D">
        <w:rPr>
          <w:rFonts w:ascii="Arial" w:hAnsi="Arial" w:cs="Arial"/>
          <w:sz w:val="20"/>
          <w:szCs w:val="20"/>
        </w:rPr>
        <w:t>requeridos</w:t>
      </w:r>
      <w:r w:rsidR="0060081D">
        <w:rPr>
          <w:rFonts w:ascii="Arial" w:hAnsi="Arial" w:cs="Arial"/>
          <w:sz w:val="20"/>
          <w:szCs w:val="20"/>
        </w:rPr>
        <w:t>.</w:t>
      </w:r>
    </w:p>
    <w:p w:rsidR="00683981" w:rsidRDefault="00683981" w:rsidP="007A7693">
      <w:pPr>
        <w:spacing w:line="360" w:lineRule="auto"/>
        <w:ind w:left="720"/>
        <w:jc w:val="both"/>
        <w:rPr>
          <w:rFonts w:ascii="Arial" w:hAnsi="Arial" w:cs="Arial"/>
          <w:sz w:val="20"/>
          <w:szCs w:val="20"/>
        </w:rPr>
      </w:pPr>
    </w:p>
    <w:p w:rsidR="007A7693" w:rsidRPr="00AF57DE" w:rsidRDefault="007A7693" w:rsidP="00942F49">
      <w:pPr>
        <w:numPr>
          <w:ilvl w:val="0"/>
          <w:numId w:val="14"/>
        </w:numPr>
        <w:spacing w:line="360" w:lineRule="auto"/>
        <w:jc w:val="both"/>
        <w:rPr>
          <w:rFonts w:ascii="Arial" w:hAnsi="Arial" w:cs="Arial"/>
          <w:bCs/>
          <w:sz w:val="20"/>
          <w:szCs w:val="20"/>
        </w:rPr>
      </w:pPr>
      <w:r w:rsidRPr="00AF57DE">
        <w:rPr>
          <w:rFonts w:ascii="Arial" w:hAnsi="Arial" w:cs="Arial"/>
          <w:bCs/>
          <w:sz w:val="20"/>
          <w:szCs w:val="20"/>
        </w:rPr>
        <w:t xml:space="preserve">Refiérase a los recursos ejecutados en relación con los logros alcanzados. </w:t>
      </w:r>
    </w:p>
    <w:p w:rsidR="007A7693" w:rsidRDefault="007A7693" w:rsidP="007A7693">
      <w:pPr>
        <w:spacing w:line="360" w:lineRule="auto"/>
        <w:ind w:left="720"/>
        <w:jc w:val="both"/>
        <w:rPr>
          <w:rFonts w:ascii="Arial" w:hAnsi="Arial" w:cs="Arial"/>
          <w:bCs/>
          <w:sz w:val="20"/>
          <w:szCs w:val="20"/>
        </w:rPr>
      </w:pPr>
    </w:p>
    <w:p w:rsidR="006216C9" w:rsidRDefault="006216C9" w:rsidP="007A7693">
      <w:pPr>
        <w:spacing w:line="360" w:lineRule="auto"/>
        <w:ind w:left="720"/>
        <w:jc w:val="both"/>
        <w:rPr>
          <w:rFonts w:ascii="Arial" w:hAnsi="Arial" w:cs="Arial"/>
          <w:bCs/>
          <w:sz w:val="20"/>
          <w:szCs w:val="20"/>
        </w:rPr>
      </w:pPr>
      <w:r>
        <w:rPr>
          <w:rFonts w:ascii="Arial" w:hAnsi="Arial" w:cs="Arial"/>
          <w:bCs/>
          <w:sz w:val="20"/>
          <w:szCs w:val="20"/>
        </w:rPr>
        <w:t xml:space="preserve">Los proyectos liquidados suman un total de </w:t>
      </w:r>
      <w:r w:rsidR="00371D1B">
        <w:rPr>
          <w:rFonts w:ascii="Arial" w:hAnsi="Arial" w:cs="Arial"/>
          <w:bCs/>
          <w:sz w:val="20"/>
          <w:szCs w:val="20"/>
        </w:rPr>
        <w:t>2.772 millones de colones, que es un 72% de los fondos totales de proyectos pendientes de liquidar.  Como en este caso se considera todo tipo de proyecto financiado, no es garantía que de haberse logrado la meta del 80% de proyectos liquidados, los fondos asociados tuvieran esa misma tendencia, pues a como puede haber proyectos de mobiliario y equipo por una suma por ejemplo de 10 millones de colones, hay otros de infraestructura que pueden acercarse a los 200 millones de colones.</w:t>
      </w:r>
    </w:p>
    <w:p w:rsidR="00371D1B" w:rsidRDefault="00371D1B" w:rsidP="007A7693">
      <w:pPr>
        <w:spacing w:line="360" w:lineRule="auto"/>
        <w:ind w:left="720"/>
        <w:jc w:val="both"/>
        <w:rPr>
          <w:rFonts w:ascii="Arial" w:hAnsi="Arial" w:cs="Arial"/>
          <w:bCs/>
          <w:sz w:val="20"/>
          <w:szCs w:val="20"/>
        </w:rPr>
      </w:pPr>
    </w:p>
    <w:p w:rsidR="00371D1B" w:rsidRDefault="00371D1B" w:rsidP="007A7693">
      <w:pPr>
        <w:spacing w:line="360" w:lineRule="auto"/>
        <w:ind w:left="720"/>
        <w:jc w:val="both"/>
        <w:rPr>
          <w:rFonts w:ascii="Arial" w:hAnsi="Arial" w:cs="Arial"/>
          <w:bCs/>
          <w:sz w:val="20"/>
          <w:szCs w:val="20"/>
        </w:rPr>
      </w:pPr>
      <w:r>
        <w:rPr>
          <w:rFonts w:ascii="Arial" w:hAnsi="Arial" w:cs="Arial"/>
          <w:bCs/>
          <w:sz w:val="20"/>
          <w:szCs w:val="20"/>
        </w:rPr>
        <w:t xml:space="preserve">Los recursos destinados por </w:t>
      </w:r>
      <w:proofErr w:type="spellStart"/>
      <w:r>
        <w:rPr>
          <w:rFonts w:ascii="Arial" w:hAnsi="Arial" w:cs="Arial"/>
          <w:bCs/>
          <w:sz w:val="20"/>
          <w:szCs w:val="20"/>
        </w:rPr>
        <w:t>Dinadeco</w:t>
      </w:r>
      <w:proofErr w:type="spellEnd"/>
      <w:r>
        <w:rPr>
          <w:rFonts w:ascii="Arial" w:hAnsi="Arial" w:cs="Arial"/>
          <w:bCs/>
          <w:sz w:val="20"/>
          <w:szCs w:val="20"/>
        </w:rPr>
        <w:t>, están asociados principalmente a remuneraciones, viáticos, combustible, servicios públicos para el funcionamiento de las oficinas y dietas de los miembros del CNDC. Todo el conjunto de recursos interactúa para buscar alcanzar una meta cada vez más retadora.</w:t>
      </w:r>
    </w:p>
    <w:p w:rsidR="006216C9" w:rsidRPr="00AF57DE" w:rsidRDefault="006216C9" w:rsidP="007A7693">
      <w:pPr>
        <w:spacing w:line="360" w:lineRule="auto"/>
        <w:ind w:left="720"/>
        <w:jc w:val="both"/>
        <w:rPr>
          <w:rFonts w:ascii="Arial" w:hAnsi="Arial" w:cs="Arial"/>
          <w:bCs/>
          <w:sz w:val="20"/>
          <w:szCs w:val="20"/>
        </w:rPr>
      </w:pPr>
    </w:p>
    <w:p w:rsidR="007A7693" w:rsidRDefault="007A7693" w:rsidP="00942F49">
      <w:pPr>
        <w:numPr>
          <w:ilvl w:val="0"/>
          <w:numId w:val="14"/>
        </w:numPr>
        <w:spacing w:line="360" w:lineRule="auto"/>
        <w:jc w:val="both"/>
        <w:rPr>
          <w:rFonts w:ascii="Arial" w:hAnsi="Arial" w:cs="Arial"/>
          <w:bCs/>
          <w:sz w:val="20"/>
          <w:szCs w:val="20"/>
        </w:rPr>
      </w:pPr>
      <w:r w:rsidRPr="00AF57DE">
        <w:rPr>
          <w:rFonts w:ascii="Arial" w:hAnsi="Arial" w:cs="Arial"/>
          <w:bCs/>
          <w:sz w:val="20"/>
          <w:szCs w:val="20"/>
        </w:rPr>
        <w:t>Comente cómo la gestión desarrollada contribuyó</w:t>
      </w:r>
      <w:r>
        <w:rPr>
          <w:rFonts w:ascii="Arial" w:hAnsi="Arial" w:cs="Arial"/>
          <w:bCs/>
          <w:sz w:val="20"/>
          <w:szCs w:val="20"/>
        </w:rPr>
        <w:t xml:space="preserve"> con la misión institucional.</w:t>
      </w:r>
    </w:p>
    <w:p w:rsidR="007A7693" w:rsidRDefault="001C44B3" w:rsidP="007A7693">
      <w:pPr>
        <w:spacing w:line="360" w:lineRule="auto"/>
        <w:ind w:left="720"/>
        <w:jc w:val="both"/>
        <w:rPr>
          <w:rFonts w:ascii="Arial" w:hAnsi="Arial" w:cs="Arial"/>
          <w:bCs/>
          <w:sz w:val="20"/>
          <w:szCs w:val="20"/>
        </w:rPr>
      </w:pPr>
      <w:r>
        <w:rPr>
          <w:rFonts w:ascii="Arial" w:hAnsi="Arial" w:cs="Arial"/>
          <w:bCs/>
          <w:sz w:val="20"/>
          <w:szCs w:val="20"/>
        </w:rPr>
        <w:t xml:space="preserve">Que los proyectos cumplan con su ejecución y se evidencie a través de su liquidación, es trascendental en la función de </w:t>
      </w:r>
      <w:proofErr w:type="spellStart"/>
      <w:r>
        <w:rPr>
          <w:rFonts w:ascii="Arial" w:hAnsi="Arial" w:cs="Arial"/>
          <w:bCs/>
          <w:sz w:val="20"/>
          <w:szCs w:val="20"/>
        </w:rPr>
        <w:t>Dinadeco</w:t>
      </w:r>
      <w:proofErr w:type="spellEnd"/>
      <w:r>
        <w:rPr>
          <w:rFonts w:ascii="Arial" w:hAnsi="Arial" w:cs="Arial"/>
          <w:bCs/>
          <w:sz w:val="20"/>
          <w:szCs w:val="20"/>
        </w:rPr>
        <w:t>, como canalizador y asesor en el manejo de fondos públicos. Dado que los recursos son limitados, esta institución prioriza la asignación de fondos, con base en diversos criterios, de forma que los proyectos beneficien a sectores más desfavorecidos, así como también se incida en mejores condiciones de vida de los habitantes de las comunidades organizadas en asociaciones de desarrollo comunal.</w:t>
      </w:r>
    </w:p>
    <w:p w:rsidR="001C44B3" w:rsidRDefault="001C44B3" w:rsidP="007A7693">
      <w:pPr>
        <w:spacing w:line="360" w:lineRule="auto"/>
        <w:ind w:left="720"/>
        <w:jc w:val="both"/>
        <w:rPr>
          <w:rFonts w:ascii="Arial" w:hAnsi="Arial" w:cs="Arial"/>
          <w:bCs/>
          <w:sz w:val="20"/>
          <w:szCs w:val="20"/>
        </w:rPr>
      </w:pPr>
    </w:p>
    <w:p w:rsidR="001C44B3" w:rsidRDefault="001C44B3" w:rsidP="007A7693">
      <w:pPr>
        <w:spacing w:line="360" w:lineRule="auto"/>
        <w:ind w:left="720"/>
        <w:jc w:val="both"/>
        <w:rPr>
          <w:rFonts w:ascii="Arial" w:hAnsi="Arial" w:cs="Arial"/>
          <w:bCs/>
          <w:sz w:val="20"/>
          <w:szCs w:val="20"/>
        </w:rPr>
      </w:pPr>
      <w:r>
        <w:rPr>
          <w:rFonts w:ascii="Arial" w:hAnsi="Arial" w:cs="Arial"/>
          <w:bCs/>
          <w:sz w:val="20"/>
          <w:szCs w:val="20"/>
        </w:rPr>
        <w:t xml:space="preserve">Los proyectos liquidados representan un producto que hace patente la capacidad organizativa de una comunidad para realizar obras o equipar instalaciones, con lo cual se brinde un determinado servicio. También refleja </w:t>
      </w:r>
      <w:r w:rsidR="00A21419">
        <w:rPr>
          <w:rFonts w:ascii="Arial" w:hAnsi="Arial" w:cs="Arial"/>
          <w:bCs/>
          <w:sz w:val="20"/>
          <w:szCs w:val="20"/>
        </w:rPr>
        <w:t>la funcionalidad del voluntariado de los líderes comunales, como un acto solidario y de vocación hacia la comunidad.</w:t>
      </w:r>
    </w:p>
    <w:p w:rsidR="004D5CBC" w:rsidRDefault="004D5CBC" w:rsidP="007A7693">
      <w:pPr>
        <w:spacing w:line="360" w:lineRule="auto"/>
        <w:ind w:left="720"/>
        <w:jc w:val="both"/>
        <w:rPr>
          <w:rFonts w:ascii="Arial" w:hAnsi="Arial" w:cs="Arial"/>
          <w:bCs/>
          <w:sz w:val="20"/>
          <w:szCs w:val="20"/>
        </w:rPr>
      </w:pPr>
    </w:p>
    <w:p w:rsidR="007A7693" w:rsidRDefault="007A7693" w:rsidP="00942F49">
      <w:pPr>
        <w:numPr>
          <w:ilvl w:val="0"/>
          <w:numId w:val="14"/>
        </w:numPr>
        <w:spacing w:line="360" w:lineRule="auto"/>
        <w:jc w:val="both"/>
        <w:rPr>
          <w:rFonts w:ascii="Arial" w:hAnsi="Arial" w:cs="Arial"/>
          <w:bCs/>
          <w:sz w:val="20"/>
          <w:szCs w:val="20"/>
        </w:rPr>
      </w:pPr>
      <w:r w:rsidRPr="00420B0D">
        <w:rPr>
          <w:rFonts w:ascii="Arial" w:hAnsi="Arial" w:cs="Arial"/>
          <w:bCs/>
          <w:sz w:val="20"/>
          <w:szCs w:val="20"/>
        </w:rPr>
        <w:t xml:space="preserve">En caso que corresponda, refiérase a la vinculación de los logros del programa </w:t>
      </w:r>
      <w:r>
        <w:rPr>
          <w:rFonts w:ascii="Arial" w:hAnsi="Arial" w:cs="Arial"/>
          <w:bCs/>
          <w:sz w:val="20"/>
          <w:szCs w:val="20"/>
        </w:rPr>
        <w:t xml:space="preserve">o subprograma </w:t>
      </w:r>
      <w:r w:rsidRPr="00420B0D">
        <w:rPr>
          <w:rFonts w:ascii="Arial" w:hAnsi="Arial" w:cs="Arial"/>
          <w:bCs/>
          <w:sz w:val="20"/>
          <w:szCs w:val="20"/>
        </w:rPr>
        <w:t>con lo establecido en el Plan Nacional de Desarrollo</w:t>
      </w:r>
      <w:r>
        <w:rPr>
          <w:rFonts w:ascii="Arial" w:hAnsi="Arial" w:cs="Arial"/>
          <w:bCs/>
          <w:sz w:val="20"/>
          <w:szCs w:val="20"/>
        </w:rPr>
        <w:t xml:space="preserve"> 2015-2018</w:t>
      </w:r>
      <w:r w:rsidRPr="00420B0D">
        <w:rPr>
          <w:rFonts w:ascii="Arial" w:hAnsi="Arial" w:cs="Arial"/>
          <w:bCs/>
          <w:sz w:val="20"/>
          <w:szCs w:val="20"/>
        </w:rPr>
        <w:t xml:space="preserve">.  </w:t>
      </w:r>
    </w:p>
    <w:p w:rsidR="007A7693" w:rsidRDefault="007A7693" w:rsidP="007A7693">
      <w:pPr>
        <w:pStyle w:val="Sangra2detindependiente"/>
        <w:ind w:left="0"/>
        <w:jc w:val="both"/>
        <w:rPr>
          <w:rFonts w:ascii="Arial" w:hAnsi="Arial" w:cs="Arial"/>
          <w:b/>
          <w:bCs/>
          <w:sz w:val="20"/>
          <w:szCs w:val="20"/>
        </w:rPr>
      </w:pPr>
    </w:p>
    <w:p w:rsidR="007A7693" w:rsidRDefault="00087429" w:rsidP="00344947">
      <w:pPr>
        <w:spacing w:line="360" w:lineRule="auto"/>
        <w:ind w:left="705"/>
        <w:jc w:val="both"/>
        <w:rPr>
          <w:rFonts w:ascii="Arial" w:hAnsi="Arial" w:cs="Arial"/>
          <w:bCs/>
          <w:sz w:val="20"/>
          <w:szCs w:val="20"/>
        </w:rPr>
      </w:pPr>
      <w:r w:rsidRPr="00D17E21">
        <w:rPr>
          <w:rFonts w:ascii="Arial" w:hAnsi="Arial" w:cs="Arial"/>
          <w:bCs/>
          <w:sz w:val="20"/>
          <w:szCs w:val="20"/>
        </w:rPr>
        <w:t xml:space="preserve">Este </w:t>
      </w:r>
      <w:r>
        <w:rPr>
          <w:rFonts w:ascii="Arial" w:hAnsi="Arial" w:cs="Arial"/>
          <w:bCs/>
          <w:sz w:val="20"/>
          <w:szCs w:val="20"/>
        </w:rPr>
        <w:t>indicador</w:t>
      </w:r>
      <w:r w:rsidRPr="00D17E21">
        <w:rPr>
          <w:rFonts w:ascii="Arial" w:hAnsi="Arial" w:cs="Arial"/>
          <w:bCs/>
          <w:sz w:val="20"/>
          <w:szCs w:val="20"/>
        </w:rPr>
        <w:t xml:space="preserve"> no está contemplado dentro del PND 2015-2018</w:t>
      </w:r>
      <w:r>
        <w:rPr>
          <w:rFonts w:ascii="Arial" w:hAnsi="Arial" w:cs="Arial"/>
          <w:bCs/>
          <w:sz w:val="20"/>
          <w:szCs w:val="20"/>
        </w:rPr>
        <w:t>.</w:t>
      </w:r>
    </w:p>
    <w:p w:rsidR="007A7693" w:rsidRDefault="007A7693" w:rsidP="00344947">
      <w:pPr>
        <w:spacing w:line="360" w:lineRule="auto"/>
        <w:ind w:left="705"/>
        <w:jc w:val="both"/>
        <w:rPr>
          <w:rFonts w:ascii="Arial" w:hAnsi="Arial" w:cs="Arial"/>
          <w:bCs/>
          <w:sz w:val="20"/>
          <w:szCs w:val="20"/>
        </w:rPr>
      </w:pPr>
    </w:p>
    <w:p w:rsidR="007A7693" w:rsidRDefault="007A7693" w:rsidP="00344947">
      <w:pPr>
        <w:spacing w:line="360" w:lineRule="auto"/>
        <w:ind w:left="705"/>
        <w:jc w:val="both"/>
        <w:rPr>
          <w:rFonts w:ascii="Arial" w:hAnsi="Arial" w:cs="Arial"/>
          <w:bCs/>
          <w:sz w:val="20"/>
          <w:szCs w:val="20"/>
        </w:rPr>
      </w:pPr>
    </w:p>
    <w:p w:rsidR="007A7693" w:rsidRDefault="007A7693" w:rsidP="00344947">
      <w:pPr>
        <w:spacing w:line="360" w:lineRule="auto"/>
        <w:ind w:left="705"/>
        <w:jc w:val="both"/>
        <w:rPr>
          <w:rFonts w:ascii="Arial" w:hAnsi="Arial" w:cs="Arial"/>
          <w:bCs/>
          <w:sz w:val="20"/>
          <w:szCs w:val="20"/>
        </w:rPr>
      </w:pPr>
      <w:r>
        <w:rPr>
          <w:rFonts w:ascii="Arial" w:hAnsi="Arial" w:cs="Arial"/>
          <w:b/>
          <w:bCs/>
          <w:sz w:val="20"/>
          <w:szCs w:val="20"/>
          <w:lang w:val="es-MX"/>
        </w:rPr>
        <w:t>Indicador 5: Porcentaje</w:t>
      </w:r>
      <w:r w:rsidRPr="00B76A88">
        <w:rPr>
          <w:rFonts w:ascii="Arial" w:hAnsi="Arial" w:cs="Arial"/>
          <w:b/>
          <w:sz w:val="20"/>
          <w:szCs w:val="20"/>
        </w:rPr>
        <w:t xml:space="preserve"> de uniones cantonales con conocimientos adquiridos en</w:t>
      </w:r>
      <w:r>
        <w:rPr>
          <w:rFonts w:ascii="Arial" w:hAnsi="Arial" w:cs="Arial"/>
          <w:b/>
          <w:sz w:val="20"/>
          <w:szCs w:val="20"/>
        </w:rPr>
        <w:t xml:space="preserve"> </w:t>
      </w:r>
      <w:r w:rsidRPr="00B76A88">
        <w:rPr>
          <w:rFonts w:ascii="Arial" w:hAnsi="Arial" w:cs="Arial"/>
          <w:b/>
          <w:sz w:val="20"/>
          <w:szCs w:val="20"/>
        </w:rPr>
        <w:t>seguridad ciudadana, mediante las capacitaciones recibidas.</w:t>
      </w:r>
    </w:p>
    <w:p w:rsidR="007A7693" w:rsidRDefault="007A7693" w:rsidP="00344947">
      <w:pPr>
        <w:spacing w:line="360" w:lineRule="auto"/>
        <w:ind w:left="705"/>
        <w:jc w:val="both"/>
        <w:rPr>
          <w:rFonts w:ascii="Arial" w:hAnsi="Arial" w:cs="Arial"/>
          <w:bCs/>
          <w:sz w:val="20"/>
          <w:szCs w:val="20"/>
        </w:rPr>
      </w:pPr>
    </w:p>
    <w:p w:rsidR="00947BAB" w:rsidRPr="00420B0D" w:rsidRDefault="00087429" w:rsidP="00942F49">
      <w:pPr>
        <w:numPr>
          <w:ilvl w:val="0"/>
          <w:numId w:val="15"/>
        </w:numPr>
        <w:spacing w:line="360" w:lineRule="auto"/>
        <w:jc w:val="both"/>
        <w:rPr>
          <w:rFonts w:ascii="Arial" w:hAnsi="Arial" w:cs="Arial"/>
          <w:sz w:val="20"/>
          <w:szCs w:val="20"/>
        </w:rPr>
      </w:pPr>
      <w:r>
        <w:rPr>
          <w:rFonts w:ascii="Arial" w:hAnsi="Arial" w:cs="Arial"/>
          <w:bCs/>
          <w:sz w:val="20"/>
          <w:szCs w:val="20"/>
        </w:rPr>
        <w:t>Análisis de resultado del indicador</w:t>
      </w:r>
      <w:r w:rsidR="00947BAB" w:rsidRPr="00420B0D">
        <w:rPr>
          <w:rFonts w:ascii="Arial" w:hAnsi="Arial" w:cs="Arial"/>
          <w:sz w:val="20"/>
          <w:szCs w:val="20"/>
        </w:rPr>
        <w:t>:</w:t>
      </w:r>
    </w:p>
    <w:p w:rsidR="00947BAB" w:rsidRPr="00420B0D" w:rsidRDefault="00947BAB" w:rsidP="00947BAB">
      <w:pPr>
        <w:spacing w:line="360" w:lineRule="auto"/>
        <w:jc w:val="both"/>
        <w:rPr>
          <w:rFonts w:ascii="Arial" w:hAnsi="Arial" w:cs="Arial"/>
          <w:sz w:val="20"/>
          <w:szCs w:val="20"/>
        </w:rPr>
      </w:pPr>
    </w:p>
    <w:p w:rsidR="00947BAB" w:rsidRDefault="00947BAB" w:rsidP="00942F49">
      <w:pPr>
        <w:numPr>
          <w:ilvl w:val="0"/>
          <w:numId w:val="2"/>
        </w:numPr>
        <w:spacing w:line="360" w:lineRule="auto"/>
        <w:ind w:left="1068"/>
        <w:jc w:val="both"/>
        <w:rPr>
          <w:rFonts w:ascii="Arial" w:hAnsi="Arial" w:cs="Arial"/>
          <w:sz w:val="20"/>
          <w:szCs w:val="20"/>
        </w:rPr>
      </w:pPr>
      <w:r w:rsidRPr="00420B0D">
        <w:rPr>
          <w:rFonts w:ascii="Arial" w:hAnsi="Arial" w:cs="Arial"/>
          <w:sz w:val="20"/>
          <w:szCs w:val="20"/>
        </w:rPr>
        <w:t xml:space="preserve">De los indicadores con un </w:t>
      </w:r>
      <w:r w:rsidR="00433905">
        <w:rPr>
          <w:rFonts w:ascii="Arial" w:hAnsi="Arial" w:cs="Arial"/>
          <w:sz w:val="20"/>
          <w:szCs w:val="20"/>
        </w:rPr>
        <w:t>cumplimiento</w:t>
      </w:r>
      <w:r w:rsidRPr="00420B0D">
        <w:rPr>
          <w:rFonts w:ascii="Arial" w:hAnsi="Arial" w:cs="Arial"/>
          <w:sz w:val="20"/>
          <w:szCs w:val="20"/>
        </w:rPr>
        <w:t xml:space="preserve"> inferior al 100% refiérase </w:t>
      </w:r>
      <w:r w:rsidR="00433905">
        <w:rPr>
          <w:rFonts w:ascii="Arial" w:hAnsi="Arial" w:cs="Arial"/>
          <w:sz w:val="20"/>
          <w:szCs w:val="20"/>
        </w:rPr>
        <w:t>a cómo esto afectó a</w:t>
      </w:r>
      <w:r w:rsidRPr="00420B0D">
        <w:rPr>
          <w:rFonts w:ascii="Arial" w:hAnsi="Arial" w:cs="Arial"/>
          <w:sz w:val="20"/>
          <w:szCs w:val="20"/>
        </w:rPr>
        <w:t xml:space="preserve"> la población objeto </w:t>
      </w:r>
      <w:r w:rsidR="00433905">
        <w:rPr>
          <w:rFonts w:ascii="Arial" w:hAnsi="Arial" w:cs="Arial"/>
          <w:sz w:val="20"/>
          <w:szCs w:val="20"/>
        </w:rPr>
        <w:t>por</w:t>
      </w:r>
      <w:r w:rsidRPr="00420B0D">
        <w:rPr>
          <w:rFonts w:ascii="Arial" w:hAnsi="Arial" w:cs="Arial"/>
          <w:sz w:val="20"/>
          <w:szCs w:val="20"/>
        </w:rPr>
        <w:t xml:space="preserve"> </w:t>
      </w:r>
      <w:r w:rsidRPr="00433905">
        <w:rPr>
          <w:rFonts w:ascii="Arial" w:hAnsi="Arial" w:cs="Arial"/>
          <w:sz w:val="20"/>
          <w:szCs w:val="20"/>
        </w:rPr>
        <w:t xml:space="preserve">los beneficios </w:t>
      </w:r>
      <w:r w:rsidR="00433905" w:rsidRPr="00433905">
        <w:rPr>
          <w:rFonts w:ascii="Arial" w:hAnsi="Arial" w:cs="Arial"/>
          <w:sz w:val="20"/>
          <w:szCs w:val="20"/>
        </w:rPr>
        <w:t>que dejó de recibir</w:t>
      </w:r>
      <w:r w:rsidRPr="00420B0D">
        <w:rPr>
          <w:rFonts w:ascii="Arial" w:hAnsi="Arial" w:cs="Arial"/>
          <w:sz w:val="20"/>
          <w:szCs w:val="20"/>
        </w:rPr>
        <w:t xml:space="preserve">. Señalar las causas que propiciaron el incumplimiento y las medidas correctivas que la </w:t>
      </w:r>
      <w:bookmarkStart w:id="10" w:name="OLE_LINK4"/>
      <w:r w:rsidRPr="00420B0D">
        <w:rPr>
          <w:rFonts w:ascii="Arial" w:hAnsi="Arial" w:cs="Arial"/>
          <w:sz w:val="20"/>
          <w:szCs w:val="20"/>
        </w:rPr>
        <w:t xml:space="preserve">institución llevará a cabo con el fin </w:t>
      </w:r>
      <w:r w:rsidR="001D7DE8">
        <w:rPr>
          <w:rFonts w:ascii="Arial" w:hAnsi="Arial" w:cs="Arial"/>
          <w:sz w:val="20"/>
          <w:szCs w:val="20"/>
        </w:rPr>
        <w:t xml:space="preserve">de </w:t>
      </w:r>
      <w:r w:rsidRPr="00420B0D">
        <w:rPr>
          <w:rFonts w:ascii="Arial" w:hAnsi="Arial" w:cs="Arial"/>
          <w:sz w:val="20"/>
          <w:szCs w:val="20"/>
        </w:rPr>
        <w:t>que no se repitan las deficiencias presentadas</w:t>
      </w:r>
      <w:r>
        <w:rPr>
          <w:rFonts w:ascii="Arial" w:hAnsi="Arial" w:cs="Arial"/>
          <w:sz w:val="20"/>
          <w:szCs w:val="20"/>
        </w:rPr>
        <w:t xml:space="preserve">, </w:t>
      </w:r>
      <w:r>
        <w:rPr>
          <w:rFonts w:ascii="Arial" w:hAnsi="Arial" w:cs="Arial"/>
          <w:bCs/>
          <w:sz w:val="20"/>
          <w:szCs w:val="20"/>
        </w:rPr>
        <w:t xml:space="preserve">así como el nombre de la unidad o departamento que las </w:t>
      </w:r>
      <w:r w:rsidR="007E2C32">
        <w:rPr>
          <w:rFonts w:ascii="Arial" w:hAnsi="Arial" w:cs="Arial"/>
          <w:bCs/>
          <w:sz w:val="20"/>
          <w:szCs w:val="20"/>
        </w:rPr>
        <w:t>ejecutará</w:t>
      </w:r>
      <w:r>
        <w:rPr>
          <w:rFonts w:ascii="Arial" w:hAnsi="Arial" w:cs="Arial"/>
          <w:bCs/>
          <w:sz w:val="20"/>
          <w:szCs w:val="20"/>
        </w:rPr>
        <w:t xml:space="preserve"> y dará seguimiento para efectuar una mejor gestión</w:t>
      </w:r>
      <w:r w:rsidRPr="00861FD9">
        <w:rPr>
          <w:rFonts w:ascii="Arial" w:hAnsi="Arial" w:cs="Arial"/>
          <w:bCs/>
          <w:sz w:val="20"/>
          <w:szCs w:val="20"/>
        </w:rPr>
        <w:t>.</w:t>
      </w:r>
      <w:r w:rsidRPr="00420B0D">
        <w:rPr>
          <w:rFonts w:ascii="Arial" w:hAnsi="Arial" w:cs="Arial"/>
          <w:sz w:val="20"/>
          <w:szCs w:val="20"/>
        </w:rPr>
        <w:t xml:space="preserve"> </w:t>
      </w:r>
      <w:r w:rsidR="00AF57DE">
        <w:rPr>
          <w:rFonts w:ascii="Arial" w:hAnsi="Arial" w:cs="Arial"/>
          <w:sz w:val="20"/>
          <w:szCs w:val="20"/>
        </w:rPr>
        <w:t>En los casos que sean reincidentes, referirse a las acciones que ha llevado a cabo la entidad para mejorar la situación.</w:t>
      </w:r>
    </w:p>
    <w:p w:rsidR="00B22135" w:rsidRDefault="00B22135" w:rsidP="00B22135">
      <w:pPr>
        <w:spacing w:line="360" w:lineRule="auto"/>
        <w:ind w:left="1068"/>
        <w:jc w:val="both"/>
        <w:rPr>
          <w:rFonts w:ascii="Arial" w:hAnsi="Arial" w:cs="Arial"/>
          <w:sz w:val="20"/>
          <w:szCs w:val="20"/>
        </w:rPr>
      </w:pPr>
    </w:p>
    <w:p w:rsidR="004620C3" w:rsidRDefault="004620C3" w:rsidP="00942F49">
      <w:pPr>
        <w:numPr>
          <w:ilvl w:val="0"/>
          <w:numId w:val="2"/>
        </w:numPr>
        <w:spacing w:line="360" w:lineRule="auto"/>
        <w:ind w:left="1068"/>
        <w:jc w:val="both"/>
        <w:rPr>
          <w:rFonts w:ascii="Arial" w:hAnsi="Arial" w:cs="Arial"/>
          <w:sz w:val="20"/>
          <w:szCs w:val="20"/>
          <w:lang w:val="es-MX"/>
        </w:rPr>
      </w:pPr>
      <w:r>
        <w:rPr>
          <w:rFonts w:ascii="Arial" w:hAnsi="Arial" w:cs="Arial"/>
          <w:sz w:val="20"/>
          <w:szCs w:val="20"/>
          <w:lang w:val="es-MX"/>
        </w:rPr>
        <w:t>Informe sobre los r</w:t>
      </w:r>
      <w:r w:rsidRPr="00420B0D">
        <w:rPr>
          <w:rFonts w:ascii="Arial" w:hAnsi="Arial" w:cs="Arial"/>
          <w:sz w:val="20"/>
          <w:szCs w:val="20"/>
          <w:lang w:val="es-MX"/>
        </w:rPr>
        <w:t>esultados de la aplicación de las acciones correctivas indicadas en el Informe de Seguimiento Semestral.</w:t>
      </w:r>
    </w:p>
    <w:p w:rsidR="00947BAB" w:rsidRDefault="00843977" w:rsidP="00947BAB">
      <w:pPr>
        <w:spacing w:line="360" w:lineRule="auto"/>
        <w:ind w:left="720"/>
        <w:jc w:val="both"/>
        <w:rPr>
          <w:rFonts w:ascii="Arial" w:hAnsi="Arial" w:cs="Arial"/>
          <w:sz w:val="20"/>
          <w:szCs w:val="20"/>
        </w:rPr>
      </w:pPr>
      <w:r w:rsidRPr="00843977">
        <w:rPr>
          <w:rFonts w:ascii="Arial" w:hAnsi="Arial" w:cs="Arial"/>
          <w:sz w:val="20"/>
          <w:szCs w:val="20"/>
        </w:rPr>
        <w:t>En Julio se realizaron dos actividades, para las cuales, según datos en la Dirección Técnica Operativa, habían confirmado 45 participantes, pero al final solo llegaron 19, de 7 organizaciones de grado superior. Se hizo una tercera con la Unión Cantonal de Guatuso, con 22 participantes. Para el 2018 se buscará la colaboración de las organizaciones comunales, para facilitar espacio y alimentación, ya que el Presupuesto aprobado por la Asamblea Legislativa, no aprobó fondos para estas actividades</w:t>
      </w:r>
      <w:r w:rsidR="0044458F">
        <w:rPr>
          <w:rFonts w:ascii="Arial" w:hAnsi="Arial" w:cs="Arial"/>
          <w:sz w:val="20"/>
          <w:szCs w:val="20"/>
        </w:rPr>
        <w:t xml:space="preserve">, </w:t>
      </w:r>
      <w:proofErr w:type="gramStart"/>
      <w:r w:rsidR="0044458F">
        <w:rPr>
          <w:rFonts w:ascii="Arial" w:hAnsi="Arial" w:cs="Arial"/>
          <w:sz w:val="20"/>
          <w:szCs w:val="20"/>
        </w:rPr>
        <w:t>que</w:t>
      </w:r>
      <w:proofErr w:type="gramEnd"/>
      <w:r w:rsidR="0044458F">
        <w:rPr>
          <w:rFonts w:ascii="Arial" w:hAnsi="Arial" w:cs="Arial"/>
          <w:sz w:val="20"/>
          <w:szCs w:val="20"/>
        </w:rPr>
        <w:t xml:space="preserve"> de hecho, ya iban recortadas en forma unilateral, por el Ministerio de Hacienda</w:t>
      </w:r>
      <w:r w:rsidRPr="00843977">
        <w:rPr>
          <w:rFonts w:ascii="Arial" w:hAnsi="Arial" w:cs="Arial"/>
          <w:sz w:val="20"/>
          <w:szCs w:val="20"/>
        </w:rPr>
        <w:t xml:space="preserve">. Se identificaron dificultades para que representantes cantonales se desplazaran a San José entre semana. Dado que el tema no es una especialización de </w:t>
      </w:r>
      <w:proofErr w:type="spellStart"/>
      <w:r w:rsidRPr="00843977">
        <w:rPr>
          <w:rFonts w:ascii="Arial" w:hAnsi="Arial" w:cs="Arial"/>
          <w:sz w:val="20"/>
          <w:szCs w:val="20"/>
        </w:rPr>
        <w:t>Dinadeco</w:t>
      </w:r>
      <w:proofErr w:type="spellEnd"/>
      <w:r w:rsidRPr="00843977">
        <w:rPr>
          <w:rFonts w:ascii="Arial" w:hAnsi="Arial" w:cs="Arial"/>
          <w:sz w:val="20"/>
          <w:szCs w:val="20"/>
        </w:rPr>
        <w:t>, se debe recurrir a instancias del Ministerio de Justicia o del Ministerio de Seguridad Pública, para la impartición de las capacitaciones.</w:t>
      </w:r>
    </w:p>
    <w:p w:rsidR="00087429" w:rsidRDefault="00087429" w:rsidP="00947BAB">
      <w:pPr>
        <w:spacing w:line="360" w:lineRule="auto"/>
        <w:ind w:left="720"/>
        <w:jc w:val="both"/>
        <w:rPr>
          <w:rFonts w:ascii="Arial" w:hAnsi="Arial" w:cs="Arial"/>
          <w:sz w:val="20"/>
          <w:szCs w:val="20"/>
        </w:rPr>
      </w:pPr>
    </w:p>
    <w:p w:rsidR="0044458F" w:rsidRDefault="0044458F" w:rsidP="00947BAB">
      <w:pPr>
        <w:spacing w:line="360" w:lineRule="auto"/>
        <w:ind w:left="720"/>
        <w:jc w:val="both"/>
        <w:rPr>
          <w:rFonts w:ascii="Arial" w:hAnsi="Arial" w:cs="Arial"/>
          <w:sz w:val="20"/>
          <w:szCs w:val="20"/>
        </w:rPr>
      </w:pPr>
      <w:r>
        <w:rPr>
          <w:rFonts w:ascii="Arial" w:hAnsi="Arial" w:cs="Arial"/>
          <w:sz w:val="20"/>
          <w:szCs w:val="20"/>
        </w:rPr>
        <w:t xml:space="preserve">En cuanto a la afectación a la población </w:t>
      </w:r>
      <w:r w:rsidRPr="00420B0D">
        <w:rPr>
          <w:rFonts w:ascii="Arial" w:hAnsi="Arial" w:cs="Arial"/>
          <w:sz w:val="20"/>
          <w:szCs w:val="20"/>
        </w:rPr>
        <w:t xml:space="preserve">objeto </w:t>
      </w:r>
      <w:r>
        <w:rPr>
          <w:rFonts w:ascii="Arial" w:hAnsi="Arial" w:cs="Arial"/>
          <w:sz w:val="20"/>
          <w:szCs w:val="20"/>
        </w:rPr>
        <w:t>por</w:t>
      </w:r>
      <w:r w:rsidRPr="00420B0D">
        <w:rPr>
          <w:rFonts w:ascii="Arial" w:hAnsi="Arial" w:cs="Arial"/>
          <w:sz w:val="20"/>
          <w:szCs w:val="20"/>
        </w:rPr>
        <w:t xml:space="preserve"> </w:t>
      </w:r>
      <w:r w:rsidRPr="00433905">
        <w:rPr>
          <w:rFonts w:ascii="Arial" w:hAnsi="Arial" w:cs="Arial"/>
          <w:sz w:val="20"/>
          <w:szCs w:val="20"/>
        </w:rPr>
        <w:t>los beneficios que dejó de recibir</w:t>
      </w:r>
      <w:r>
        <w:rPr>
          <w:rFonts w:ascii="Arial" w:hAnsi="Arial" w:cs="Arial"/>
          <w:sz w:val="20"/>
          <w:szCs w:val="20"/>
        </w:rPr>
        <w:t xml:space="preserve">, cabe señalar que el abordaje de este tema no surgió de la demanda de las organizaciones comunales, por lo que no representa una afectación a sus intereses particulares en materia de capacitación. Sin embargo, es claro que el tema de la seguridad ciudadana ha sido un foco de atención para el país en general, por lo cual se busca contribuir a un abordaje preventivo en las comunidades. </w:t>
      </w:r>
    </w:p>
    <w:p w:rsidR="0044458F" w:rsidRDefault="0044458F" w:rsidP="00947BAB">
      <w:pPr>
        <w:spacing w:line="360" w:lineRule="auto"/>
        <w:ind w:left="720"/>
        <w:jc w:val="both"/>
        <w:rPr>
          <w:rFonts w:ascii="Arial" w:hAnsi="Arial" w:cs="Arial"/>
          <w:sz w:val="20"/>
          <w:szCs w:val="20"/>
        </w:rPr>
      </w:pPr>
    </w:p>
    <w:p w:rsidR="0044458F" w:rsidRDefault="0044458F" w:rsidP="00947BAB">
      <w:pPr>
        <w:spacing w:line="360" w:lineRule="auto"/>
        <w:ind w:left="720"/>
        <w:jc w:val="both"/>
        <w:rPr>
          <w:rFonts w:ascii="Arial" w:hAnsi="Arial" w:cs="Arial"/>
          <w:sz w:val="20"/>
          <w:szCs w:val="20"/>
        </w:rPr>
      </w:pPr>
      <w:r>
        <w:rPr>
          <w:rFonts w:ascii="Arial" w:hAnsi="Arial" w:cs="Arial"/>
          <w:sz w:val="20"/>
          <w:szCs w:val="20"/>
        </w:rPr>
        <w:lastRenderedPageBreak/>
        <w:t xml:space="preserve">La unidad de Planificación Institucional de </w:t>
      </w:r>
      <w:proofErr w:type="spellStart"/>
      <w:r>
        <w:rPr>
          <w:rFonts w:ascii="Arial" w:hAnsi="Arial" w:cs="Arial"/>
          <w:sz w:val="20"/>
          <w:szCs w:val="20"/>
        </w:rPr>
        <w:t>Dinadeco</w:t>
      </w:r>
      <w:proofErr w:type="spellEnd"/>
      <w:r>
        <w:rPr>
          <w:rFonts w:ascii="Arial" w:hAnsi="Arial" w:cs="Arial"/>
          <w:sz w:val="20"/>
          <w:szCs w:val="20"/>
        </w:rPr>
        <w:t xml:space="preserve">, ha asumido la labor de contacto y coordinación con el equipo de facilitadores del Viceministerio de Justicia y Paz y de la Dirección de Programas Preventivos del Ministerio de Seguridad Pública. </w:t>
      </w:r>
      <w:r w:rsidR="00A35BE9">
        <w:rPr>
          <w:rFonts w:ascii="Arial" w:hAnsi="Arial" w:cs="Arial"/>
          <w:sz w:val="20"/>
          <w:szCs w:val="20"/>
        </w:rPr>
        <w:t>De cara a la meta del 2018, p</w:t>
      </w:r>
      <w:r>
        <w:rPr>
          <w:rFonts w:ascii="Arial" w:hAnsi="Arial" w:cs="Arial"/>
          <w:sz w:val="20"/>
          <w:szCs w:val="20"/>
        </w:rPr>
        <w:t xml:space="preserve">ara aspectos </w:t>
      </w:r>
      <w:r w:rsidR="00A35BE9">
        <w:rPr>
          <w:rFonts w:ascii="Arial" w:hAnsi="Arial" w:cs="Arial"/>
          <w:sz w:val="20"/>
          <w:szCs w:val="20"/>
        </w:rPr>
        <w:t xml:space="preserve">logísticos, se contactarán a uniones cantonales para determinar en la medida de sus recursos, la factibilidad de disponer de espacio y alimentación para albergar a participantes a estas actividades y en lo posible, se pueda convocar a representantes de diversas uniones y federaciones, de zonas afines al lugar del evento. </w:t>
      </w:r>
    </w:p>
    <w:p w:rsidR="00087429" w:rsidRDefault="00087429" w:rsidP="00947BAB">
      <w:pPr>
        <w:spacing w:line="360" w:lineRule="auto"/>
        <w:ind w:left="720"/>
        <w:jc w:val="both"/>
        <w:rPr>
          <w:rFonts w:ascii="Arial" w:hAnsi="Arial" w:cs="Arial"/>
          <w:sz w:val="20"/>
          <w:szCs w:val="20"/>
        </w:rPr>
      </w:pPr>
    </w:p>
    <w:bookmarkEnd w:id="10"/>
    <w:p w:rsidR="00947BAB" w:rsidRPr="00AF57DE" w:rsidRDefault="00947BAB" w:rsidP="00942F49">
      <w:pPr>
        <w:numPr>
          <w:ilvl w:val="0"/>
          <w:numId w:val="15"/>
        </w:numPr>
        <w:spacing w:line="360" w:lineRule="auto"/>
        <w:jc w:val="both"/>
        <w:rPr>
          <w:rFonts w:ascii="Arial" w:hAnsi="Arial" w:cs="Arial"/>
          <w:bCs/>
          <w:sz w:val="20"/>
          <w:szCs w:val="20"/>
        </w:rPr>
      </w:pPr>
      <w:r w:rsidRPr="00AF57DE">
        <w:rPr>
          <w:rFonts w:ascii="Arial" w:hAnsi="Arial" w:cs="Arial"/>
          <w:bCs/>
          <w:sz w:val="20"/>
          <w:szCs w:val="20"/>
        </w:rPr>
        <w:t xml:space="preserve">Refiérase a los recursos </w:t>
      </w:r>
      <w:r w:rsidR="00433905" w:rsidRPr="00AF57DE">
        <w:rPr>
          <w:rFonts w:ascii="Arial" w:hAnsi="Arial" w:cs="Arial"/>
          <w:bCs/>
          <w:sz w:val="20"/>
          <w:szCs w:val="20"/>
        </w:rPr>
        <w:t>ejecutados en relación con los logros alcanzados.</w:t>
      </w:r>
      <w:r w:rsidR="007E220D" w:rsidRPr="00AF57DE">
        <w:rPr>
          <w:rFonts w:ascii="Arial" w:hAnsi="Arial" w:cs="Arial"/>
          <w:bCs/>
          <w:sz w:val="20"/>
          <w:szCs w:val="20"/>
        </w:rPr>
        <w:t xml:space="preserve"> </w:t>
      </w:r>
    </w:p>
    <w:p w:rsidR="00947BAB" w:rsidRDefault="00A35BE9" w:rsidP="00947BAB">
      <w:pPr>
        <w:spacing w:line="360" w:lineRule="auto"/>
        <w:ind w:left="720"/>
        <w:jc w:val="both"/>
        <w:rPr>
          <w:rFonts w:ascii="Arial" w:hAnsi="Arial" w:cs="Arial"/>
          <w:bCs/>
          <w:sz w:val="20"/>
          <w:szCs w:val="20"/>
        </w:rPr>
      </w:pPr>
      <w:r>
        <w:rPr>
          <w:rFonts w:ascii="Arial" w:hAnsi="Arial" w:cs="Arial"/>
          <w:bCs/>
          <w:sz w:val="20"/>
          <w:szCs w:val="20"/>
        </w:rPr>
        <w:t xml:space="preserve">Los recursos destinados, especialmente para alimentación en los eventos, fueron los necesarios para </w:t>
      </w:r>
      <w:r w:rsidR="004B1DE3">
        <w:rPr>
          <w:rFonts w:ascii="Arial" w:hAnsi="Arial" w:cs="Arial"/>
          <w:bCs/>
          <w:sz w:val="20"/>
          <w:szCs w:val="20"/>
        </w:rPr>
        <w:t xml:space="preserve">cumplir con las actividades y cubrir la meta de </w:t>
      </w:r>
      <w:r w:rsidR="00A25888">
        <w:rPr>
          <w:rFonts w:ascii="Arial" w:hAnsi="Arial" w:cs="Arial"/>
          <w:bCs/>
          <w:sz w:val="20"/>
          <w:szCs w:val="20"/>
        </w:rPr>
        <w:t xml:space="preserve">porcentaje de </w:t>
      </w:r>
      <w:r w:rsidR="004B1DE3">
        <w:rPr>
          <w:rFonts w:ascii="Arial" w:hAnsi="Arial" w:cs="Arial"/>
          <w:bCs/>
          <w:sz w:val="20"/>
          <w:szCs w:val="20"/>
        </w:rPr>
        <w:t>organizaciones</w:t>
      </w:r>
      <w:r w:rsidR="00174067">
        <w:rPr>
          <w:rFonts w:ascii="Arial" w:hAnsi="Arial" w:cs="Arial"/>
          <w:bCs/>
          <w:sz w:val="20"/>
          <w:szCs w:val="20"/>
        </w:rPr>
        <w:t xml:space="preserve"> a capacitar</w:t>
      </w:r>
      <w:r w:rsidR="004B1DE3">
        <w:rPr>
          <w:rFonts w:ascii="Arial" w:hAnsi="Arial" w:cs="Arial"/>
          <w:bCs/>
          <w:sz w:val="20"/>
          <w:szCs w:val="20"/>
        </w:rPr>
        <w:t xml:space="preserve">. </w:t>
      </w:r>
      <w:r w:rsidR="00174067">
        <w:rPr>
          <w:rFonts w:ascii="Arial" w:hAnsi="Arial" w:cs="Arial"/>
          <w:bCs/>
          <w:sz w:val="20"/>
          <w:szCs w:val="20"/>
        </w:rPr>
        <w:t>Lamentablemente, como se indicó en el ítem a, la respuesta a la convocatoria estuvo por debajo de lo esperado.</w:t>
      </w:r>
    </w:p>
    <w:p w:rsidR="00A35BE9" w:rsidRPr="00AF57DE" w:rsidRDefault="00A35BE9" w:rsidP="00947BAB">
      <w:pPr>
        <w:spacing w:line="360" w:lineRule="auto"/>
        <w:ind w:left="720"/>
        <w:jc w:val="both"/>
        <w:rPr>
          <w:rFonts w:ascii="Arial" w:hAnsi="Arial" w:cs="Arial"/>
          <w:bCs/>
          <w:sz w:val="20"/>
          <w:szCs w:val="20"/>
        </w:rPr>
      </w:pPr>
    </w:p>
    <w:p w:rsidR="00947BAB" w:rsidRDefault="00947BAB" w:rsidP="00942F49">
      <w:pPr>
        <w:numPr>
          <w:ilvl w:val="0"/>
          <w:numId w:val="15"/>
        </w:numPr>
        <w:spacing w:line="360" w:lineRule="auto"/>
        <w:jc w:val="both"/>
        <w:rPr>
          <w:rFonts w:ascii="Arial" w:hAnsi="Arial" w:cs="Arial"/>
          <w:bCs/>
          <w:sz w:val="20"/>
          <w:szCs w:val="20"/>
        </w:rPr>
      </w:pPr>
      <w:r w:rsidRPr="00AF57DE">
        <w:rPr>
          <w:rFonts w:ascii="Arial" w:hAnsi="Arial" w:cs="Arial"/>
          <w:bCs/>
          <w:sz w:val="20"/>
          <w:szCs w:val="20"/>
        </w:rPr>
        <w:t>Comente cómo la gestión desarrollada contribuyó</w:t>
      </w:r>
      <w:r>
        <w:rPr>
          <w:rFonts w:ascii="Arial" w:hAnsi="Arial" w:cs="Arial"/>
          <w:bCs/>
          <w:sz w:val="20"/>
          <w:szCs w:val="20"/>
        </w:rPr>
        <w:t xml:space="preserve"> con la misión institucional.</w:t>
      </w:r>
    </w:p>
    <w:p w:rsidR="00947BAB" w:rsidRDefault="006B7F04" w:rsidP="00947BAB">
      <w:pPr>
        <w:spacing w:line="360" w:lineRule="auto"/>
        <w:ind w:left="720"/>
        <w:jc w:val="both"/>
        <w:rPr>
          <w:rFonts w:ascii="Arial" w:hAnsi="Arial" w:cs="Arial"/>
          <w:bCs/>
          <w:sz w:val="20"/>
          <w:szCs w:val="20"/>
        </w:rPr>
      </w:pPr>
      <w:r>
        <w:rPr>
          <w:rFonts w:ascii="Arial" w:hAnsi="Arial" w:cs="Arial"/>
          <w:bCs/>
          <w:sz w:val="20"/>
          <w:szCs w:val="20"/>
        </w:rPr>
        <w:t xml:space="preserve">Como parte de la misión institucional, estas actividades forman parte de una gestión integral de </w:t>
      </w:r>
      <w:proofErr w:type="spellStart"/>
      <w:r>
        <w:rPr>
          <w:rFonts w:ascii="Arial" w:hAnsi="Arial" w:cs="Arial"/>
          <w:bCs/>
          <w:sz w:val="20"/>
          <w:szCs w:val="20"/>
        </w:rPr>
        <w:t>Dinadeco</w:t>
      </w:r>
      <w:proofErr w:type="spellEnd"/>
      <w:r>
        <w:rPr>
          <w:rFonts w:ascii="Arial" w:hAnsi="Arial" w:cs="Arial"/>
          <w:bCs/>
          <w:sz w:val="20"/>
          <w:szCs w:val="20"/>
        </w:rPr>
        <w:t xml:space="preserve"> por fortalecer el conocimiento de los </w:t>
      </w:r>
      <w:proofErr w:type="spellStart"/>
      <w:r>
        <w:rPr>
          <w:rFonts w:ascii="Arial" w:hAnsi="Arial" w:cs="Arial"/>
          <w:bCs/>
          <w:sz w:val="20"/>
          <w:szCs w:val="20"/>
        </w:rPr>
        <w:t>comunalistas</w:t>
      </w:r>
      <w:proofErr w:type="spellEnd"/>
      <w:r>
        <w:rPr>
          <w:rFonts w:ascii="Arial" w:hAnsi="Arial" w:cs="Arial"/>
          <w:bCs/>
          <w:sz w:val="20"/>
          <w:szCs w:val="20"/>
        </w:rPr>
        <w:t xml:space="preserve"> en distintos ámbitos. Si bien no se logró la expectativa de convocatoria, la calidad de la instrucción sí caló entre quienes participaron. En la medida en que puedan desarrollarse actividades de este tipo como parte de metas de las instituciones expertas en el tema, podrá disponerse de mayores recursos </w:t>
      </w:r>
      <w:r w:rsidR="00287703">
        <w:rPr>
          <w:rFonts w:ascii="Arial" w:hAnsi="Arial" w:cs="Arial"/>
          <w:bCs/>
          <w:sz w:val="20"/>
          <w:szCs w:val="20"/>
        </w:rPr>
        <w:t>para la difusión de temas afines a la seguridad comunitaria.</w:t>
      </w:r>
    </w:p>
    <w:p w:rsidR="00174067" w:rsidRDefault="00174067" w:rsidP="00947BAB">
      <w:pPr>
        <w:spacing w:line="360" w:lineRule="auto"/>
        <w:ind w:left="720"/>
        <w:jc w:val="both"/>
        <w:rPr>
          <w:rFonts w:ascii="Arial" w:hAnsi="Arial" w:cs="Arial"/>
          <w:bCs/>
          <w:sz w:val="20"/>
          <w:szCs w:val="20"/>
        </w:rPr>
      </w:pPr>
    </w:p>
    <w:p w:rsidR="00947BAB" w:rsidRDefault="00947BAB" w:rsidP="00942F49">
      <w:pPr>
        <w:numPr>
          <w:ilvl w:val="0"/>
          <w:numId w:val="15"/>
        </w:numPr>
        <w:spacing w:line="360" w:lineRule="auto"/>
        <w:jc w:val="both"/>
        <w:rPr>
          <w:rFonts w:ascii="Arial" w:hAnsi="Arial" w:cs="Arial"/>
          <w:bCs/>
          <w:sz w:val="20"/>
          <w:szCs w:val="20"/>
        </w:rPr>
      </w:pPr>
      <w:r w:rsidRPr="00420B0D">
        <w:rPr>
          <w:rFonts w:ascii="Arial" w:hAnsi="Arial" w:cs="Arial"/>
          <w:bCs/>
          <w:sz w:val="20"/>
          <w:szCs w:val="20"/>
        </w:rPr>
        <w:t xml:space="preserve">En caso que corresponda, refiérase a la vinculación de los logros del programa </w:t>
      </w:r>
      <w:r>
        <w:rPr>
          <w:rFonts w:ascii="Arial" w:hAnsi="Arial" w:cs="Arial"/>
          <w:bCs/>
          <w:sz w:val="20"/>
          <w:szCs w:val="20"/>
        </w:rPr>
        <w:t xml:space="preserve">o subprograma </w:t>
      </w:r>
      <w:r w:rsidRPr="00420B0D">
        <w:rPr>
          <w:rFonts w:ascii="Arial" w:hAnsi="Arial" w:cs="Arial"/>
          <w:bCs/>
          <w:sz w:val="20"/>
          <w:szCs w:val="20"/>
        </w:rPr>
        <w:t>con lo establecido en el Plan Nacional de Desarrollo</w:t>
      </w:r>
      <w:r>
        <w:rPr>
          <w:rFonts w:ascii="Arial" w:hAnsi="Arial" w:cs="Arial"/>
          <w:bCs/>
          <w:sz w:val="20"/>
          <w:szCs w:val="20"/>
        </w:rPr>
        <w:t xml:space="preserve"> 2015-2018</w:t>
      </w:r>
      <w:r w:rsidRPr="00420B0D">
        <w:rPr>
          <w:rFonts w:ascii="Arial" w:hAnsi="Arial" w:cs="Arial"/>
          <w:bCs/>
          <w:sz w:val="20"/>
          <w:szCs w:val="20"/>
        </w:rPr>
        <w:t xml:space="preserve">.  </w:t>
      </w:r>
    </w:p>
    <w:p w:rsidR="00E9277A" w:rsidRDefault="00E9277A" w:rsidP="00287703">
      <w:pPr>
        <w:spacing w:line="360" w:lineRule="auto"/>
        <w:ind w:left="360"/>
        <w:jc w:val="both"/>
        <w:rPr>
          <w:rFonts w:ascii="Arial" w:hAnsi="Arial" w:cs="Arial"/>
          <w:bCs/>
          <w:sz w:val="20"/>
          <w:szCs w:val="20"/>
        </w:rPr>
      </w:pPr>
    </w:p>
    <w:p w:rsidR="00287703" w:rsidRDefault="00287703" w:rsidP="00287703">
      <w:pPr>
        <w:spacing w:line="360" w:lineRule="auto"/>
        <w:ind w:left="360"/>
        <w:jc w:val="both"/>
        <w:rPr>
          <w:rFonts w:ascii="Arial" w:hAnsi="Arial" w:cs="Arial"/>
          <w:bCs/>
          <w:sz w:val="20"/>
          <w:szCs w:val="20"/>
        </w:rPr>
      </w:pPr>
      <w:r>
        <w:rPr>
          <w:rFonts w:ascii="Arial" w:hAnsi="Arial" w:cs="Arial"/>
          <w:bCs/>
          <w:sz w:val="20"/>
          <w:szCs w:val="20"/>
        </w:rPr>
        <w:t>Este indicador como tal no está reflejado en el PND 2015-2018, solo está en la matriz institucional del Sector Seguridad</w:t>
      </w:r>
      <w:r w:rsidR="00E9277A">
        <w:rPr>
          <w:rFonts w:ascii="Arial" w:hAnsi="Arial" w:cs="Arial"/>
          <w:bCs/>
          <w:sz w:val="20"/>
          <w:szCs w:val="20"/>
        </w:rPr>
        <w:t>, asociado al programa “</w:t>
      </w:r>
      <w:r w:rsidR="00E9277A" w:rsidRPr="00E9277A">
        <w:rPr>
          <w:rFonts w:ascii="Arial" w:hAnsi="Arial" w:cs="Arial"/>
          <w:bCs/>
          <w:sz w:val="20"/>
          <w:szCs w:val="20"/>
        </w:rPr>
        <w:t>Prevención de las distintas manifestaciones de la violencia, delincuencia y criminalidad</w:t>
      </w:r>
      <w:r w:rsidR="00E9277A">
        <w:rPr>
          <w:rFonts w:ascii="Arial" w:hAnsi="Arial" w:cs="Arial"/>
          <w:bCs/>
          <w:sz w:val="20"/>
          <w:szCs w:val="20"/>
        </w:rPr>
        <w:t xml:space="preserve">”.  </w:t>
      </w:r>
    </w:p>
    <w:p w:rsidR="005B13BE" w:rsidRDefault="005B13BE" w:rsidP="008C0CB8">
      <w:pPr>
        <w:pStyle w:val="Sangra2detindependiente"/>
        <w:ind w:left="0"/>
        <w:jc w:val="both"/>
        <w:rPr>
          <w:rFonts w:ascii="Arial" w:hAnsi="Arial" w:cs="Arial"/>
          <w:b/>
          <w:bCs/>
          <w:sz w:val="20"/>
          <w:szCs w:val="20"/>
        </w:rPr>
      </w:pPr>
    </w:p>
    <w:p w:rsidR="00B22135" w:rsidRDefault="00B22135" w:rsidP="008C0CB8">
      <w:pPr>
        <w:pStyle w:val="Sangra2detindependiente"/>
        <w:ind w:left="0"/>
        <w:jc w:val="both"/>
        <w:rPr>
          <w:rFonts w:ascii="Arial" w:hAnsi="Arial" w:cs="Arial"/>
          <w:b/>
          <w:bCs/>
          <w:sz w:val="20"/>
          <w:szCs w:val="20"/>
        </w:rPr>
      </w:pPr>
    </w:p>
    <w:p w:rsidR="007A7693" w:rsidRDefault="007A7693" w:rsidP="008C0CB8">
      <w:pPr>
        <w:pStyle w:val="Sangra2detindependiente"/>
        <w:ind w:left="0"/>
        <w:jc w:val="both"/>
        <w:rPr>
          <w:rFonts w:ascii="Arial" w:hAnsi="Arial" w:cs="Arial"/>
          <w:b/>
          <w:bCs/>
          <w:sz w:val="20"/>
          <w:szCs w:val="20"/>
        </w:rPr>
      </w:pPr>
    </w:p>
    <w:p w:rsidR="007A7693" w:rsidRDefault="007A7693" w:rsidP="008C0CB8">
      <w:pPr>
        <w:pStyle w:val="Sangra2detindependiente"/>
        <w:ind w:left="0"/>
        <w:jc w:val="both"/>
        <w:rPr>
          <w:rFonts w:ascii="Arial" w:hAnsi="Arial" w:cs="Arial"/>
          <w:b/>
          <w:bCs/>
          <w:sz w:val="20"/>
          <w:szCs w:val="20"/>
        </w:rPr>
      </w:pPr>
    </w:p>
    <w:p w:rsidR="00E9277A" w:rsidRDefault="00E9277A">
      <w:pPr>
        <w:rPr>
          <w:rFonts w:ascii="Arial" w:hAnsi="Arial" w:cs="Arial"/>
          <w:b/>
          <w:bCs/>
          <w:sz w:val="20"/>
          <w:szCs w:val="20"/>
          <w:lang w:val="es-MX"/>
        </w:rPr>
      </w:pPr>
      <w:r>
        <w:rPr>
          <w:rFonts w:ascii="Arial" w:hAnsi="Arial" w:cs="Arial"/>
          <w:b/>
          <w:bCs/>
          <w:sz w:val="20"/>
          <w:szCs w:val="20"/>
        </w:rPr>
        <w:br w:type="page"/>
      </w:r>
    </w:p>
    <w:p w:rsidR="007B16AB" w:rsidRPr="005F5B1E" w:rsidRDefault="007B16AB" w:rsidP="008C0CB8">
      <w:pPr>
        <w:pStyle w:val="Sangra2detindependiente"/>
        <w:ind w:left="0"/>
        <w:jc w:val="both"/>
        <w:rPr>
          <w:rFonts w:ascii="Arial" w:hAnsi="Arial" w:cs="Arial"/>
          <w:b/>
          <w:bCs/>
          <w:sz w:val="20"/>
          <w:szCs w:val="20"/>
        </w:rPr>
      </w:pPr>
      <w:r w:rsidRPr="005F5B1E">
        <w:rPr>
          <w:rFonts w:ascii="Arial" w:hAnsi="Arial" w:cs="Arial"/>
          <w:b/>
          <w:bCs/>
          <w:sz w:val="20"/>
          <w:szCs w:val="20"/>
        </w:rPr>
        <w:lastRenderedPageBreak/>
        <w:t>Datos del</w:t>
      </w:r>
      <w:r w:rsidR="005C79B9">
        <w:rPr>
          <w:rFonts w:ascii="Arial" w:hAnsi="Arial" w:cs="Arial"/>
          <w:b/>
          <w:bCs/>
          <w:sz w:val="20"/>
          <w:szCs w:val="20"/>
        </w:rPr>
        <w:t xml:space="preserve"> (la)</w:t>
      </w:r>
      <w:r w:rsidR="008B3AE5" w:rsidRPr="005F5B1E">
        <w:rPr>
          <w:rFonts w:ascii="Arial" w:hAnsi="Arial" w:cs="Arial"/>
          <w:b/>
          <w:bCs/>
          <w:sz w:val="20"/>
          <w:szCs w:val="20"/>
        </w:rPr>
        <w:t xml:space="preserve"> </w:t>
      </w:r>
      <w:proofErr w:type="gramStart"/>
      <w:r w:rsidR="008B3AE5" w:rsidRPr="005F5B1E">
        <w:rPr>
          <w:rFonts w:ascii="Arial" w:hAnsi="Arial" w:cs="Arial"/>
          <w:b/>
          <w:bCs/>
          <w:sz w:val="20"/>
          <w:szCs w:val="20"/>
        </w:rPr>
        <w:t>Director</w:t>
      </w:r>
      <w:proofErr w:type="gramEnd"/>
      <w:r w:rsidR="005C79B9">
        <w:rPr>
          <w:rFonts w:ascii="Arial" w:hAnsi="Arial" w:cs="Arial"/>
          <w:b/>
          <w:bCs/>
          <w:sz w:val="20"/>
          <w:szCs w:val="20"/>
        </w:rPr>
        <w:t xml:space="preserve"> (a)</w:t>
      </w:r>
      <w:r w:rsidR="008B3AE5" w:rsidRPr="005F5B1E">
        <w:rPr>
          <w:rFonts w:ascii="Arial" w:hAnsi="Arial" w:cs="Arial"/>
          <w:b/>
          <w:bCs/>
          <w:sz w:val="20"/>
          <w:szCs w:val="20"/>
        </w:rPr>
        <w:t xml:space="preserve"> del</w:t>
      </w:r>
      <w:r w:rsidR="002E7114" w:rsidRPr="005F5B1E">
        <w:rPr>
          <w:rFonts w:ascii="Arial" w:hAnsi="Arial" w:cs="Arial"/>
          <w:b/>
          <w:bCs/>
          <w:sz w:val="20"/>
          <w:szCs w:val="20"/>
        </w:rPr>
        <w:t xml:space="preserve"> P</w:t>
      </w:r>
      <w:r w:rsidR="009C74A2" w:rsidRPr="005F5B1E">
        <w:rPr>
          <w:rFonts w:ascii="Arial" w:hAnsi="Arial" w:cs="Arial"/>
          <w:b/>
          <w:bCs/>
          <w:sz w:val="20"/>
          <w:szCs w:val="20"/>
        </w:rPr>
        <w:t>rograma</w:t>
      </w:r>
      <w:r w:rsidR="00117EC9">
        <w:rPr>
          <w:rFonts w:ascii="Arial" w:hAnsi="Arial" w:cs="Arial"/>
          <w:b/>
          <w:bCs/>
          <w:sz w:val="20"/>
          <w:szCs w:val="20"/>
        </w:rPr>
        <w:t xml:space="preserve"> o Subprograma</w:t>
      </w:r>
      <w:r w:rsidRPr="005F5B1E">
        <w:rPr>
          <w:rFonts w:ascii="Arial" w:hAnsi="Arial" w:cs="Arial"/>
          <w:b/>
          <w:bCs/>
          <w:sz w:val="20"/>
          <w:szCs w:val="20"/>
        </w:rPr>
        <w:t>:</w:t>
      </w:r>
      <w:r w:rsidR="00687B0E">
        <w:rPr>
          <w:rFonts w:ascii="Arial" w:hAnsi="Arial" w:cs="Arial"/>
          <w:b/>
          <w:bCs/>
          <w:sz w:val="20"/>
          <w:szCs w:val="20"/>
        </w:rPr>
        <w:t xml:space="preserve">  </w:t>
      </w:r>
    </w:p>
    <w:p w:rsidR="006F44D4" w:rsidRDefault="006F44D4" w:rsidP="00815D4C">
      <w:pPr>
        <w:pStyle w:val="Sangra2detindependiente"/>
        <w:ind w:left="0"/>
        <w:rPr>
          <w:rFonts w:ascii="Arial" w:hAnsi="Arial" w:cs="Arial"/>
          <w:b/>
          <w:bCs/>
          <w:sz w:val="20"/>
          <w:szCs w:val="20"/>
        </w:rPr>
      </w:pPr>
    </w:p>
    <w:p w:rsidR="006F44D4" w:rsidRPr="005F5B1E" w:rsidRDefault="007B16AB" w:rsidP="00006D90">
      <w:pPr>
        <w:pStyle w:val="Sangra2detindependiente"/>
        <w:ind w:left="0"/>
        <w:jc w:val="both"/>
        <w:rPr>
          <w:rFonts w:ascii="Arial" w:hAnsi="Arial" w:cs="Arial"/>
          <w:b/>
          <w:bCs/>
          <w:sz w:val="20"/>
          <w:szCs w:val="20"/>
        </w:rPr>
      </w:pPr>
      <w:r w:rsidRPr="005F5B1E">
        <w:rPr>
          <w:rFonts w:ascii="Arial" w:hAnsi="Arial" w:cs="Arial"/>
          <w:b/>
          <w:bCs/>
          <w:sz w:val="20"/>
          <w:szCs w:val="20"/>
        </w:rPr>
        <w:t>Nombre:</w:t>
      </w:r>
      <w:r w:rsidR="0095745B">
        <w:rPr>
          <w:rFonts w:ascii="Arial" w:hAnsi="Arial" w:cs="Arial"/>
          <w:b/>
          <w:bCs/>
          <w:sz w:val="20"/>
          <w:szCs w:val="20"/>
        </w:rPr>
        <w:t xml:space="preserve">  </w:t>
      </w:r>
      <w:proofErr w:type="spellStart"/>
      <w:r w:rsidR="0095745B">
        <w:rPr>
          <w:rFonts w:ascii="Arial" w:hAnsi="Arial" w:cs="Arial"/>
          <w:b/>
          <w:bCs/>
          <w:sz w:val="20"/>
          <w:szCs w:val="20"/>
        </w:rPr>
        <w:t>Harys</w:t>
      </w:r>
      <w:proofErr w:type="spellEnd"/>
      <w:r w:rsidR="0095745B">
        <w:rPr>
          <w:rFonts w:ascii="Arial" w:hAnsi="Arial" w:cs="Arial"/>
          <w:b/>
          <w:bCs/>
          <w:sz w:val="20"/>
          <w:szCs w:val="20"/>
        </w:rPr>
        <w:t xml:space="preserve"> Regidor Barboza</w:t>
      </w:r>
    </w:p>
    <w:p w:rsidR="00815D4C" w:rsidRDefault="00815D4C" w:rsidP="0072096C">
      <w:pPr>
        <w:pStyle w:val="Sangra2detindependiente"/>
        <w:ind w:left="0"/>
        <w:rPr>
          <w:rFonts w:ascii="Arial" w:hAnsi="Arial" w:cs="Arial"/>
          <w:b/>
          <w:bCs/>
          <w:sz w:val="20"/>
          <w:szCs w:val="20"/>
        </w:rPr>
      </w:pPr>
    </w:p>
    <w:p w:rsidR="00006D90" w:rsidRDefault="007B16AB" w:rsidP="00006D90">
      <w:pPr>
        <w:pStyle w:val="Sangra2detindependiente"/>
        <w:ind w:left="0"/>
        <w:rPr>
          <w:rFonts w:ascii="Arial" w:hAnsi="Arial" w:cs="Arial"/>
          <w:b/>
          <w:bCs/>
          <w:sz w:val="20"/>
          <w:szCs w:val="20"/>
        </w:rPr>
      </w:pPr>
      <w:r w:rsidRPr="005F5B1E">
        <w:rPr>
          <w:rFonts w:ascii="Arial" w:hAnsi="Arial" w:cs="Arial"/>
          <w:b/>
          <w:bCs/>
          <w:sz w:val="20"/>
          <w:szCs w:val="20"/>
        </w:rPr>
        <w:t>Dirección de correo electrónico:</w:t>
      </w:r>
      <w:r w:rsidR="0095745B">
        <w:rPr>
          <w:rFonts w:ascii="Arial" w:hAnsi="Arial" w:cs="Arial"/>
          <w:b/>
          <w:bCs/>
          <w:sz w:val="20"/>
          <w:szCs w:val="20"/>
        </w:rPr>
        <w:t xml:space="preserve"> hregidor@dinadeco.go.cr</w:t>
      </w:r>
    </w:p>
    <w:p w:rsidR="006F44D4" w:rsidRDefault="006F44D4" w:rsidP="00006D90">
      <w:pPr>
        <w:pStyle w:val="Sangra2detindependiente"/>
        <w:ind w:left="0"/>
        <w:rPr>
          <w:rFonts w:ascii="Arial" w:hAnsi="Arial" w:cs="Arial"/>
          <w:b/>
          <w:bCs/>
          <w:sz w:val="20"/>
          <w:szCs w:val="20"/>
        </w:rPr>
      </w:pPr>
    </w:p>
    <w:p w:rsidR="00006D90" w:rsidRDefault="007B16AB" w:rsidP="00006D90">
      <w:pPr>
        <w:pStyle w:val="Sangra2detindependiente"/>
        <w:ind w:left="0"/>
        <w:jc w:val="both"/>
        <w:rPr>
          <w:rFonts w:ascii="Arial" w:hAnsi="Arial" w:cs="Arial"/>
          <w:b/>
          <w:bCs/>
          <w:sz w:val="20"/>
          <w:szCs w:val="20"/>
        </w:rPr>
      </w:pPr>
      <w:r w:rsidRPr="005F5B1E">
        <w:rPr>
          <w:rFonts w:ascii="Arial" w:hAnsi="Arial" w:cs="Arial"/>
          <w:b/>
          <w:bCs/>
          <w:sz w:val="20"/>
          <w:szCs w:val="20"/>
        </w:rPr>
        <w:t xml:space="preserve">Número </w:t>
      </w:r>
      <w:r w:rsidR="00383DA2" w:rsidRPr="005F5B1E">
        <w:rPr>
          <w:rFonts w:ascii="Arial" w:hAnsi="Arial" w:cs="Arial"/>
          <w:b/>
          <w:bCs/>
          <w:sz w:val="20"/>
          <w:szCs w:val="20"/>
        </w:rPr>
        <w:t>t</w:t>
      </w:r>
      <w:r w:rsidRPr="005F5B1E">
        <w:rPr>
          <w:rFonts w:ascii="Arial" w:hAnsi="Arial" w:cs="Arial"/>
          <w:b/>
          <w:bCs/>
          <w:sz w:val="20"/>
          <w:szCs w:val="20"/>
        </w:rPr>
        <w:t>elefónico:</w:t>
      </w:r>
      <w:r w:rsidR="0095745B">
        <w:rPr>
          <w:rFonts w:ascii="Arial" w:hAnsi="Arial" w:cs="Arial"/>
          <w:b/>
          <w:bCs/>
          <w:sz w:val="20"/>
          <w:szCs w:val="20"/>
        </w:rPr>
        <w:t xml:space="preserve"> 2528-4152</w:t>
      </w:r>
    </w:p>
    <w:p w:rsidR="00815D4C" w:rsidRPr="005F5B1E" w:rsidRDefault="00815D4C" w:rsidP="00006D90">
      <w:pPr>
        <w:pStyle w:val="Sangra2detindependiente"/>
        <w:ind w:left="0"/>
        <w:jc w:val="both"/>
        <w:rPr>
          <w:rFonts w:ascii="Arial" w:hAnsi="Arial" w:cs="Arial"/>
          <w:b/>
          <w:bCs/>
          <w:sz w:val="20"/>
          <w:szCs w:val="20"/>
        </w:rPr>
      </w:pPr>
    </w:p>
    <w:p w:rsidR="0095745B" w:rsidRDefault="0095745B" w:rsidP="00B22135">
      <w:pPr>
        <w:pStyle w:val="Sangra2detindependiente"/>
        <w:ind w:left="0"/>
        <w:jc w:val="both"/>
        <w:rPr>
          <w:rFonts w:ascii="Arial" w:hAnsi="Arial" w:cs="Arial"/>
          <w:b/>
          <w:bCs/>
          <w:sz w:val="20"/>
          <w:szCs w:val="20"/>
        </w:rPr>
      </w:pPr>
    </w:p>
    <w:p w:rsidR="0095745B" w:rsidRDefault="0095745B" w:rsidP="00B22135">
      <w:pPr>
        <w:pStyle w:val="Sangra2detindependiente"/>
        <w:ind w:left="0"/>
        <w:jc w:val="both"/>
        <w:rPr>
          <w:rFonts w:ascii="Arial" w:hAnsi="Arial" w:cs="Arial"/>
          <w:b/>
          <w:bCs/>
          <w:sz w:val="20"/>
          <w:szCs w:val="20"/>
        </w:rPr>
      </w:pPr>
    </w:p>
    <w:p w:rsidR="009C74A2" w:rsidRDefault="008B3AE5" w:rsidP="00B22135">
      <w:pPr>
        <w:pStyle w:val="Sangra2detindependiente"/>
        <w:ind w:left="0"/>
        <w:jc w:val="both"/>
        <w:rPr>
          <w:rFonts w:ascii="Arial" w:hAnsi="Arial" w:cs="Arial"/>
          <w:b/>
          <w:bCs/>
          <w:sz w:val="20"/>
          <w:szCs w:val="20"/>
        </w:rPr>
      </w:pPr>
      <w:r w:rsidRPr="005F5B1E">
        <w:rPr>
          <w:rFonts w:ascii="Arial" w:hAnsi="Arial" w:cs="Arial"/>
          <w:b/>
          <w:bCs/>
          <w:sz w:val="20"/>
          <w:szCs w:val="20"/>
        </w:rPr>
        <w:t>Firma</w:t>
      </w:r>
      <w:r w:rsidR="007B16AB" w:rsidRPr="005F5B1E">
        <w:rPr>
          <w:rFonts w:ascii="Arial" w:hAnsi="Arial" w:cs="Arial"/>
          <w:b/>
          <w:bCs/>
          <w:sz w:val="20"/>
          <w:szCs w:val="20"/>
        </w:rPr>
        <w:t>:</w:t>
      </w:r>
    </w:p>
    <w:p w:rsidR="00B22135" w:rsidRDefault="00B22135" w:rsidP="00B22135">
      <w:pPr>
        <w:pStyle w:val="Sangra2detindependiente"/>
        <w:ind w:left="0"/>
        <w:jc w:val="both"/>
        <w:rPr>
          <w:rFonts w:ascii="Arial" w:hAnsi="Arial" w:cs="Arial"/>
          <w:b/>
          <w:bCs/>
          <w:sz w:val="20"/>
          <w:szCs w:val="20"/>
        </w:rPr>
      </w:pPr>
    </w:p>
    <w:p w:rsidR="0095745B" w:rsidRDefault="0095745B" w:rsidP="00B22135">
      <w:pPr>
        <w:pStyle w:val="Sangra2detindependiente"/>
        <w:ind w:left="0"/>
        <w:jc w:val="both"/>
        <w:rPr>
          <w:rFonts w:ascii="Arial" w:hAnsi="Arial" w:cs="Arial"/>
          <w:b/>
          <w:bCs/>
          <w:sz w:val="20"/>
          <w:szCs w:val="20"/>
        </w:rPr>
      </w:pPr>
    </w:p>
    <w:p w:rsidR="0095745B" w:rsidRDefault="0095745B" w:rsidP="00B22135">
      <w:pPr>
        <w:pStyle w:val="Sangra2detindependiente"/>
        <w:ind w:left="0"/>
        <w:jc w:val="both"/>
        <w:rPr>
          <w:rFonts w:ascii="Arial" w:hAnsi="Arial" w:cs="Arial"/>
          <w:b/>
          <w:bCs/>
          <w:sz w:val="20"/>
          <w:szCs w:val="20"/>
        </w:rPr>
      </w:pPr>
    </w:p>
    <w:p w:rsidR="007B16AB" w:rsidRDefault="009C74A2" w:rsidP="00B22135">
      <w:pPr>
        <w:pStyle w:val="Sangra2detindependiente"/>
        <w:ind w:left="0"/>
        <w:jc w:val="both"/>
        <w:rPr>
          <w:rFonts w:ascii="Arial" w:hAnsi="Arial" w:cs="Arial"/>
          <w:sz w:val="20"/>
          <w:szCs w:val="20"/>
        </w:rPr>
      </w:pPr>
      <w:r w:rsidRPr="005F5B1E">
        <w:rPr>
          <w:rFonts w:ascii="Arial" w:hAnsi="Arial" w:cs="Arial"/>
          <w:b/>
          <w:bCs/>
          <w:sz w:val="20"/>
          <w:szCs w:val="20"/>
        </w:rPr>
        <w:t>Sello</w:t>
      </w:r>
      <w:r w:rsidRPr="005F5B1E">
        <w:rPr>
          <w:rFonts w:ascii="Arial" w:hAnsi="Arial" w:cs="Arial"/>
          <w:sz w:val="20"/>
          <w:szCs w:val="20"/>
        </w:rPr>
        <w:t xml:space="preserve">: </w:t>
      </w:r>
    </w:p>
    <w:p w:rsidR="000A55FE" w:rsidRDefault="000A55FE" w:rsidP="00B22135">
      <w:pPr>
        <w:pStyle w:val="Sangra2detindependiente"/>
        <w:ind w:left="0"/>
        <w:jc w:val="both"/>
        <w:rPr>
          <w:rFonts w:ascii="Arial" w:hAnsi="Arial" w:cs="Arial"/>
          <w:sz w:val="20"/>
          <w:szCs w:val="20"/>
        </w:rPr>
      </w:pPr>
    </w:p>
    <w:p w:rsidR="000A55FE" w:rsidRDefault="000A55FE" w:rsidP="00B22135">
      <w:pPr>
        <w:pStyle w:val="Sangra2detindependiente"/>
        <w:ind w:left="0"/>
        <w:jc w:val="both"/>
        <w:rPr>
          <w:rFonts w:ascii="Arial" w:hAnsi="Arial" w:cs="Arial"/>
          <w:sz w:val="20"/>
          <w:szCs w:val="20"/>
        </w:rPr>
      </w:pPr>
    </w:p>
    <w:p w:rsidR="000A55FE" w:rsidRDefault="000A55FE" w:rsidP="00B22135">
      <w:pPr>
        <w:pStyle w:val="Sangra2detindependiente"/>
        <w:ind w:left="0"/>
        <w:jc w:val="both"/>
        <w:rPr>
          <w:rFonts w:ascii="Arial" w:hAnsi="Arial" w:cs="Arial"/>
          <w:sz w:val="20"/>
          <w:szCs w:val="20"/>
        </w:rPr>
      </w:pPr>
    </w:p>
    <w:p w:rsidR="000A55FE" w:rsidRDefault="000A55FE" w:rsidP="00B22135">
      <w:pPr>
        <w:pStyle w:val="Sangra2detindependiente"/>
        <w:ind w:left="0"/>
        <w:jc w:val="both"/>
        <w:rPr>
          <w:rFonts w:ascii="Arial" w:hAnsi="Arial" w:cs="Arial"/>
          <w:sz w:val="20"/>
          <w:szCs w:val="20"/>
        </w:rPr>
      </w:pPr>
    </w:p>
    <w:p w:rsidR="000A55FE" w:rsidRDefault="000A55FE" w:rsidP="00B22135">
      <w:pPr>
        <w:pStyle w:val="Sangra2detindependiente"/>
        <w:ind w:left="0"/>
        <w:jc w:val="both"/>
        <w:rPr>
          <w:rFonts w:ascii="Arial" w:hAnsi="Arial" w:cs="Arial"/>
          <w:sz w:val="20"/>
          <w:szCs w:val="20"/>
        </w:rPr>
      </w:pPr>
    </w:p>
    <w:p w:rsidR="00A36489" w:rsidRDefault="00A36489" w:rsidP="008C0CB8">
      <w:pPr>
        <w:spacing w:after="120"/>
        <w:jc w:val="both"/>
        <w:rPr>
          <w:rFonts w:ascii="Arial" w:hAnsi="Arial" w:cs="Arial"/>
          <w:sz w:val="20"/>
          <w:szCs w:val="20"/>
          <w:lang w:val="es-MX"/>
        </w:rPr>
      </w:pPr>
    </w:p>
    <w:sectPr w:rsidR="00A36489" w:rsidSect="0036033D">
      <w:headerReference w:type="default" r:id="rId22"/>
      <w:footerReference w:type="default" r:id="rId23"/>
      <w:pgSz w:w="12242" w:h="15842" w:code="1"/>
      <w:pgMar w:top="1418" w:right="1701" w:bottom="1077" w:left="1701" w:header="737" w:footer="567" w:gutter="0"/>
      <w:cols w:space="708" w:equalWidth="0">
        <w:col w:w="85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F49" w:rsidRDefault="00942F49">
      <w:r>
        <w:separator/>
      </w:r>
    </w:p>
  </w:endnote>
  <w:endnote w:type="continuationSeparator" w:id="0">
    <w:p w:rsidR="00942F49" w:rsidRDefault="0094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F02" w:rsidRDefault="00E54F02" w:rsidP="00E54F02">
    <w:pPr>
      <w:pStyle w:val="Default"/>
    </w:pPr>
  </w:p>
  <w:p w:rsidR="00084E4B" w:rsidRPr="00EB7BAD" w:rsidRDefault="00E54F02" w:rsidP="00E54F02">
    <w:pPr>
      <w:pStyle w:val="Piedepgina"/>
      <w:tabs>
        <w:tab w:val="right" w:pos="8789"/>
      </w:tabs>
      <w:spacing w:before="120" w:after="100" w:afterAutospacing="1"/>
      <w:jc w:val="center"/>
      <w:rPr>
        <w:lang w:val="es-CR"/>
      </w:rPr>
    </w:pPr>
    <w:r>
      <w:t xml:space="preserve"> </w:t>
    </w:r>
    <w:r w:rsidRPr="00E54F02">
      <w:rPr>
        <w:rFonts w:ascii="Arial" w:hAnsi="Arial"/>
        <w:sz w:val="18"/>
        <w:szCs w:val="18"/>
        <w:lang w:val="es-CR"/>
      </w:rPr>
      <w:t>Dirección: Edificio NOGA, calles 38 y 40, Frente al Centro Colón, Paseo Colón Tel:(506)2539-6240 - www.hacienda.go.cr</w:t>
    </w:r>
    <w:r w:rsidR="00EB7BAD" w:rsidRPr="006032A4">
      <w:rPr>
        <w:rFonts w:ascii="Arial" w:hAnsi="Arial"/>
        <w:noProof/>
        <w:sz w:val="18"/>
        <w:szCs w:val="18"/>
        <w:lang w:val="es-CR" w:eastAsia="es-CR"/>
      </w:rPr>
      <w:drawing>
        <wp:anchor distT="0" distB="0" distL="114300" distR="114300" simplePos="0" relativeHeight="251665408" behindDoc="0" locked="0" layoutInCell="1" allowOverlap="1" wp14:anchorId="75472248" wp14:editId="44FB2542">
          <wp:simplePos x="0" y="0"/>
          <wp:positionH relativeFrom="column">
            <wp:posOffset>3200400</wp:posOffset>
          </wp:positionH>
          <wp:positionV relativeFrom="paragraph">
            <wp:posOffset>-2419985</wp:posOffset>
          </wp:positionV>
          <wp:extent cx="2905760" cy="1664054"/>
          <wp:effectExtent l="0" t="0" r="0" b="12700"/>
          <wp:wrapNone/>
          <wp:docPr id="5" name="Imagen 5" descr="Macintosh HD:Users:Ministerio_de_Hacienda:Desktop:André:Libro de marca nuevo:Logos para hojas membretadas:mh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nisterio_de_Hacienda:Desktop:André:Libro de marca nuevo:Logos para hojas membretadas:mh 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760" cy="166405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F49" w:rsidRDefault="00942F49">
      <w:r>
        <w:separator/>
      </w:r>
    </w:p>
  </w:footnote>
  <w:footnote w:type="continuationSeparator" w:id="0">
    <w:p w:rsidR="00942F49" w:rsidRDefault="0094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428" w:rsidRDefault="00425428" w:rsidP="00EB7BAD">
    <w:pPr>
      <w:pStyle w:val="Encabezado"/>
      <w:jc w:val="right"/>
    </w:pPr>
  </w:p>
  <w:p w:rsidR="00084E4B" w:rsidRDefault="00EB7BAD" w:rsidP="00EB7BAD">
    <w:pPr>
      <w:pStyle w:val="Encabezado"/>
      <w:jc w:val="right"/>
    </w:pPr>
    <w:r>
      <w:rPr>
        <w:noProof/>
        <w:lang w:val="es-CR" w:eastAsia="es-CR"/>
      </w:rPr>
      <w:drawing>
        <wp:anchor distT="0" distB="0" distL="114300" distR="114300" simplePos="0" relativeHeight="251663360" behindDoc="1" locked="0" layoutInCell="1" allowOverlap="1" wp14:anchorId="507146B1" wp14:editId="24B1E346">
          <wp:simplePos x="0" y="0"/>
          <wp:positionH relativeFrom="column">
            <wp:posOffset>-446405</wp:posOffset>
          </wp:positionH>
          <wp:positionV relativeFrom="paragraph">
            <wp:posOffset>45720</wp:posOffset>
          </wp:positionV>
          <wp:extent cx="1036320" cy="447040"/>
          <wp:effectExtent l="0" t="0" r="0" b="0"/>
          <wp:wrapNone/>
          <wp:docPr id="23" name="Imagen 23" descr="Macintosh HD:Users:Ministerio_de_Hacienda:Desktop:André:Libro de marca nuevo:Logos para hojas membretadas:png logos:logo presupues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Ministerio_de_Hacienda:Desktop:André:Libro de marca nuevo:Logos para hojas membretadas:png logos:logo presupuesto nac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47040"/>
                  </a:xfrm>
                  <a:prstGeom prst="rect">
                    <a:avLst/>
                  </a:prstGeom>
                  <a:noFill/>
                  <a:ln>
                    <a:noFill/>
                  </a:ln>
                </pic:spPr>
              </pic:pic>
            </a:graphicData>
          </a:graphic>
        </wp:anchor>
      </w:drawing>
    </w:r>
  </w:p>
  <w:p w:rsidR="00EB7BAD" w:rsidRDefault="00EB7BAD" w:rsidP="0036033D">
    <w:pPr>
      <w:pStyle w:val="Encabezado"/>
    </w:pPr>
  </w:p>
  <w:p w:rsidR="00425428" w:rsidRDefault="00425428" w:rsidP="0036033D">
    <w:pPr>
      <w:pStyle w:val="Encabezado"/>
    </w:pPr>
  </w:p>
  <w:p w:rsidR="00084E4B" w:rsidRDefault="00084E4B" w:rsidP="003603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8F"/>
    <w:multiLevelType w:val="hybridMultilevel"/>
    <w:tmpl w:val="57C0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CE7387"/>
    <w:multiLevelType w:val="hybridMultilevel"/>
    <w:tmpl w:val="57C0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FE08C1"/>
    <w:multiLevelType w:val="hybridMultilevel"/>
    <w:tmpl w:val="57C0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014686"/>
    <w:multiLevelType w:val="hybridMultilevel"/>
    <w:tmpl w:val="972031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34F56E3"/>
    <w:multiLevelType w:val="hybridMultilevel"/>
    <w:tmpl w:val="17FA27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AE95AC4"/>
    <w:multiLevelType w:val="hybridMultilevel"/>
    <w:tmpl w:val="D13801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7267DBF"/>
    <w:multiLevelType w:val="hybridMultilevel"/>
    <w:tmpl w:val="D84C85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9AB03F5"/>
    <w:multiLevelType w:val="hybridMultilevel"/>
    <w:tmpl w:val="EB62B5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8223F7"/>
    <w:multiLevelType w:val="hybridMultilevel"/>
    <w:tmpl w:val="57C0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7181BF5"/>
    <w:multiLevelType w:val="hybridMultilevel"/>
    <w:tmpl w:val="57C0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7843BFB"/>
    <w:multiLevelType w:val="hybridMultilevel"/>
    <w:tmpl w:val="63C29DDE"/>
    <w:lvl w:ilvl="0" w:tplc="4C9EB47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5C75B87"/>
    <w:multiLevelType w:val="hybridMultilevel"/>
    <w:tmpl w:val="22D496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8763B94"/>
    <w:multiLevelType w:val="hybridMultilevel"/>
    <w:tmpl w:val="972031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07510FD"/>
    <w:multiLevelType w:val="multilevel"/>
    <w:tmpl w:val="F57EA5B4"/>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84C4B89"/>
    <w:multiLevelType w:val="hybridMultilevel"/>
    <w:tmpl w:val="292CE3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0"/>
  </w:num>
  <w:num w:numId="4">
    <w:abstractNumId w:val="13"/>
  </w:num>
  <w:num w:numId="5">
    <w:abstractNumId w:val="10"/>
  </w:num>
  <w:num w:numId="6">
    <w:abstractNumId w:val="4"/>
  </w:num>
  <w:num w:numId="7">
    <w:abstractNumId w:val="12"/>
  </w:num>
  <w:num w:numId="8">
    <w:abstractNumId w:val="3"/>
  </w:num>
  <w:num w:numId="9">
    <w:abstractNumId w:val="6"/>
  </w:num>
  <w:num w:numId="10">
    <w:abstractNumId w:val="7"/>
  </w:num>
  <w:num w:numId="11">
    <w:abstractNumId w:val="5"/>
  </w:num>
  <w:num w:numId="12">
    <w:abstractNumId w:val="2"/>
  </w:num>
  <w:num w:numId="13">
    <w:abstractNumId w:val="1"/>
  </w:num>
  <w:num w:numId="14">
    <w:abstractNumId w:val="9"/>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40"/>
    <w:rsid w:val="00001EB0"/>
    <w:rsid w:val="0000652C"/>
    <w:rsid w:val="00006D90"/>
    <w:rsid w:val="000116C4"/>
    <w:rsid w:val="000236BC"/>
    <w:rsid w:val="00024884"/>
    <w:rsid w:val="00027A66"/>
    <w:rsid w:val="00031BA7"/>
    <w:rsid w:val="00032BA0"/>
    <w:rsid w:val="0003629C"/>
    <w:rsid w:val="00040077"/>
    <w:rsid w:val="00040226"/>
    <w:rsid w:val="000404E5"/>
    <w:rsid w:val="00044EBB"/>
    <w:rsid w:val="0004514B"/>
    <w:rsid w:val="0004638D"/>
    <w:rsid w:val="00055154"/>
    <w:rsid w:val="00057AD1"/>
    <w:rsid w:val="000606BA"/>
    <w:rsid w:val="00064953"/>
    <w:rsid w:val="00064DB0"/>
    <w:rsid w:val="00066107"/>
    <w:rsid w:val="00075540"/>
    <w:rsid w:val="00076112"/>
    <w:rsid w:val="00076AD8"/>
    <w:rsid w:val="00077F3D"/>
    <w:rsid w:val="00082503"/>
    <w:rsid w:val="00084E4B"/>
    <w:rsid w:val="00085D1A"/>
    <w:rsid w:val="00087429"/>
    <w:rsid w:val="000905C1"/>
    <w:rsid w:val="0009334D"/>
    <w:rsid w:val="00094CEA"/>
    <w:rsid w:val="000A36DE"/>
    <w:rsid w:val="000A55FE"/>
    <w:rsid w:val="000A5709"/>
    <w:rsid w:val="000A76E9"/>
    <w:rsid w:val="000A78B0"/>
    <w:rsid w:val="000B07CC"/>
    <w:rsid w:val="000B1EDC"/>
    <w:rsid w:val="000B2356"/>
    <w:rsid w:val="000B3D94"/>
    <w:rsid w:val="000B400C"/>
    <w:rsid w:val="000B53FB"/>
    <w:rsid w:val="000C39E6"/>
    <w:rsid w:val="000C3FDD"/>
    <w:rsid w:val="000D1D40"/>
    <w:rsid w:val="000D3CAF"/>
    <w:rsid w:val="000D5A27"/>
    <w:rsid w:val="000E0056"/>
    <w:rsid w:val="000E02CF"/>
    <w:rsid w:val="000E09A7"/>
    <w:rsid w:val="000E1C2B"/>
    <w:rsid w:val="000E258A"/>
    <w:rsid w:val="000E2F20"/>
    <w:rsid w:val="000E4282"/>
    <w:rsid w:val="000E459C"/>
    <w:rsid w:val="000E78A6"/>
    <w:rsid w:val="000F229C"/>
    <w:rsid w:val="000F25FD"/>
    <w:rsid w:val="000F3866"/>
    <w:rsid w:val="00101157"/>
    <w:rsid w:val="00105B0D"/>
    <w:rsid w:val="0010686E"/>
    <w:rsid w:val="001070EE"/>
    <w:rsid w:val="00113F5F"/>
    <w:rsid w:val="00117EC9"/>
    <w:rsid w:val="001236B5"/>
    <w:rsid w:val="00131894"/>
    <w:rsid w:val="00133586"/>
    <w:rsid w:val="0013582B"/>
    <w:rsid w:val="001358A0"/>
    <w:rsid w:val="0013761D"/>
    <w:rsid w:val="0013789B"/>
    <w:rsid w:val="001422DE"/>
    <w:rsid w:val="00142D09"/>
    <w:rsid w:val="00146052"/>
    <w:rsid w:val="00151F48"/>
    <w:rsid w:val="001549FC"/>
    <w:rsid w:val="00156275"/>
    <w:rsid w:val="0016214B"/>
    <w:rsid w:val="001650D1"/>
    <w:rsid w:val="00171A45"/>
    <w:rsid w:val="0017204D"/>
    <w:rsid w:val="0017263A"/>
    <w:rsid w:val="00174067"/>
    <w:rsid w:val="00174E34"/>
    <w:rsid w:val="00174EB8"/>
    <w:rsid w:val="0018187D"/>
    <w:rsid w:val="00183AC4"/>
    <w:rsid w:val="00183F17"/>
    <w:rsid w:val="00184A24"/>
    <w:rsid w:val="00187470"/>
    <w:rsid w:val="0019043F"/>
    <w:rsid w:val="001942D6"/>
    <w:rsid w:val="00195D53"/>
    <w:rsid w:val="00197182"/>
    <w:rsid w:val="001B1D6F"/>
    <w:rsid w:val="001C44B3"/>
    <w:rsid w:val="001C6FC8"/>
    <w:rsid w:val="001D57F9"/>
    <w:rsid w:val="001D7DE8"/>
    <w:rsid w:val="001E461F"/>
    <w:rsid w:val="001E47B8"/>
    <w:rsid w:val="001E4B19"/>
    <w:rsid w:val="001F1B95"/>
    <w:rsid w:val="001F3078"/>
    <w:rsid w:val="001F3300"/>
    <w:rsid w:val="001F5CB3"/>
    <w:rsid w:val="001F5D95"/>
    <w:rsid w:val="00201930"/>
    <w:rsid w:val="00202090"/>
    <w:rsid w:val="00203E83"/>
    <w:rsid w:val="00207622"/>
    <w:rsid w:val="00210AE6"/>
    <w:rsid w:val="00210C83"/>
    <w:rsid w:val="00213E69"/>
    <w:rsid w:val="00215512"/>
    <w:rsid w:val="002214B5"/>
    <w:rsid w:val="00221867"/>
    <w:rsid w:val="0022605F"/>
    <w:rsid w:val="0022673D"/>
    <w:rsid w:val="002357CB"/>
    <w:rsid w:val="002369F0"/>
    <w:rsid w:val="00241129"/>
    <w:rsid w:val="00241C70"/>
    <w:rsid w:val="002422E2"/>
    <w:rsid w:val="0024660E"/>
    <w:rsid w:val="00251ED5"/>
    <w:rsid w:val="00252828"/>
    <w:rsid w:val="00253F30"/>
    <w:rsid w:val="00257D00"/>
    <w:rsid w:val="00257F06"/>
    <w:rsid w:val="0026051A"/>
    <w:rsid w:val="002671BC"/>
    <w:rsid w:val="002708EC"/>
    <w:rsid w:val="002718F6"/>
    <w:rsid w:val="00280DA1"/>
    <w:rsid w:val="00281699"/>
    <w:rsid w:val="00282EA0"/>
    <w:rsid w:val="002846E6"/>
    <w:rsid w:val="00285EA8"/>
    <w:rsid w:val="00286865"/>
    <w:rsid w:val="00287703"/>
    <w:rsid w:val="00292947"/>
    <w:rsid w:val="00293EFC"/>
    <w:rsid w:val="002A2B82"/>
    <w:rsid w:val="002A6657"/>
    <w:rsid w:val="002B1861"/>
    <w:rsid w:val="002B18BE"/>
    <w:rsid w:val="002B24C9"/>
    <w:rsid w:val="002B2C19"/>
    <w:rsid w:val="002B6DDB"/>
    <w:rsid w:val="002C0FEC"/>
    <w:rsid w:val="002C1E0D"/>
    <w:rsid w:val="002C3A5B"/>
    <w:rsid w:val="002D1114"/>
    <w:rsid w:val="002D4186"/>
    <w:rsid w:val="002D54BF"/>
    <w:rsid w:val="002E2533"/>
    <w:rsid w:val="002E3951"/>
    <w:rsid w:val="002E4810"/>
    <w:rsid w:val="002E5B2D"/>
    <w:rsid w:val="002E7114"/>
    <w:rsid w:val="002F0E8F"/>
    <w:rsid w:val="00300C8C"/>
    <w:rsid w:val="00301974"/>
    <w:rsid w:val="0030586B"/>
    <w:rsid w:val="00310207"/>
    <w:rsid w:val="003129C6"/>
    <w:rsid w:val="00312BA2"/>
    <w:rsid w:val="00322394"/>
    <w:rsid w:val="00322EEB"/>
    <w:rsid w:val="00323C4A"/>
    <w:rsid w:val="003336D8"/>
    <w:rsid w:val="00340667"/>
    <w:rsid w:val="00344947"/>
    <w:rsid w:val="0034528F"/>
    <w:rsid w:val="003455BE"/>
    <w:rsid w:val="0034596A"/>
    <w:rsid w:val="00356D7D"/>
    <w:rsid w:val="0036033D"/>
    <w:rsid w:val="00363527"/>
    <w:rsid w:val="00364A06"/>
    <w:rsid w:val="00366E9A"/>
    <w:rsid w:val="00371D1B"/>
    <w:rsid w:val="00376A27"/>
    <w:rsid w:val="00377C15"/>
    <w:rsid w:val="00383319"/>
    <w:rsid w:val="00383DA2"/>
    <w:rsid w:val="00385324"/>
    <w:rsid w:val="00385875"/>
    <w:rsid w:val="00387F7A"/>
    <w:rsid w:val="003923DD"/>
    <w:rsid w:val="00394B6D"/>
    <w:rsid w:val="003952E3"/>
    <w:rsid w:val="0039588D"/>
    <w:rsid w:val="003960A5"/>
    <w:rsid w:val="00397AEA"/>
    <w:rsid w:val="003A0BBC"/>
    <w:rsid w:val="003A1AC6"/>
    <w:rsid w:val="003A28F4"/>
    <w:rsid w:val="003B5601"/>
    <w:rsid w:val="003B576D"/>
    <w:rsid w:val="003C5E9C"/>
    <w:rsid w:val="003D2F09"/>
    <w:rsid w:val="003D7059"/>
    <w:rsid w:val="003E1A11"/>
    <w:rsid w:val="003F0D17"/>
    <w:rsid w:val="003F5A76"/>
    <w:rsid w:val="003F6036"/>
    <w:rsid w:val="00411BD2"/>
    <w:rsid w:val="00412F6D"/>
    <w:rsid w:val="00413236"/>
    <w:rsid w:val="00413BF4"/>
    <w:rsid w:val="004140EC"/>
    <w:rsid w:val="004156BD"/>
    <w:rsid w:val="00417245"/>
    <w:rsid w:val="00420D4E"/>
    <w:rsid w:val="0042111B"/>
    <w:rsid w:val="00421A08"/>
    <w:rsid w:val="0042451B"/>
    <w:rsid w:val="00425428"/>
    <w:rsid w:val="004260A7"/>
    <w:rsid w:val="00426608"/>
    <w:rsid w:val="00426BA3"/>
    <w:rsid w:val="00426FFC"/>
    <w:rsid w:val="004300F6"/>
    <w:rsid w:val="00430A01"/>
    <w:rsid w:val="00431E03"/>
    <w:rsid w:val="00432E4B"/>
    <w:rsid w:val="00433905"/>
    <w:rsid w:val="00436FF5"/>
    <w:rsid w:val="004409BC"/>
    <w:rsid w:val="00440B06"/>
    <w:rsid w:val="00440CF6"/>
    <w:rsid w:val="004422DD"/>
    <w:rsid w:val="0044458F"/>
    <w:rsid w:val="004451A7"/>
    <w:rsid w:val="0044559F"/>
    <w:rsid w:val="004466AE"/>
    <w:rsid w:val="00446CFF"/>
    <w:rsid w:val="004470D0"/>
    <w:rsid w:val="00451E8C"/>
    <w:rsid w:val="00453CDA"/>
    <w:rsid w:val="004566A2"/>
    <w:rsid w:val="00456C1B"/>
    <w:rsid w:val="00457D77"/>
    <w:rsid w:val="00460DAD"/>
    <w:rsid w:val="004611FC"/>
    <w:rsid w:val="00461DC8"/>
    <w:rsid w:val="004620C3"/>
    <w:rsid w:val="00465B01"/>
    <w:rsid w:val="00465C6C"/>
    <w:rsid w:val="00465F72"/>
    <w:rsid w:val="004664FE"/>
    <w:rsid w:val="00466936"/>
    <w:rsid w:val="00472371"/>
    <w:rsid w:val="00473A8E"/>
    <w:rsid w:val="00477788"/>
    <w:rsid w:val="00481D6D"/>
    <w:rsid w:val="004842AE"/>
    <w:rsid w:val="00485565"/>
    <w:rsid w:val="00485DD3"/>
    <w:rsid w:val="00485F8F"/>
    <w:rsid w:val="0048798D"/>
    <w:rsid w:val="00494654"/>
    <w:rsid w:val="004947FD"/>
    <w:rsid w:val="00494CE0"/>
    <w:rsid w:val="004A3528"/>
    <w:rsid w:val="004A449F"/>
    <w:rsid w:val="004A6211"/>
    <w:rsid w:val="004B166E"/>
    <w:rsid w:val="004B1DE3"/>
    <w:rsid w:val="004C0D61"/>
    <w:rsid w:val="004C179F"/>
    <w:rsid w:val="004C7C28"/>
    <w:rsid w:val="004D1A7D"/>
    <w:rsid w:val="004D5935"/>
    <w:rsid w:val="004D59BF"/>
    <w:rsid w:val="004D5CBC"/>
    <w:rsid w:val="004D6325"/>
    <w:rsid w:val="004D68B9"/>
    <w:rsid w:val="004E0BCA"/>
    <w:rsid w:val="004E4F0F"/>
    <w:rsid w:val="004E52CF"/>
    <w:rsid w:val="004E63CF"/>
    <w:rsid w:val="004F083D"/>
    <w:rsid w:val="0050143E"/>
    <w:rsid w:val="00507572"/>
    <w:rsid w:val="005105D6"/>
    <w:rsid w:val="005116CD"/>
    <w:rsid w:val="005149FD"/>
    <w:rsid w:val="005176CB"/>
    <w:rsid w:val="00520005"/>
    <w:rsid w:val="00520FC1"/>
    <w:rsid w:val="00521426"/>
    <w:rsid w:val="0052299B"/>
    <w:rsid w:val="00522CE2"/>
    <w:rsid w:val="0053646B"/>
    <w:rsid w:val="005436A5"/>
    <w:rsid w:val="005528FD"/>
    <w:rsid w:val="005541B3"/>
    <w:rsid w:val="00560639"/>
    <w:rsid w:val="005617FD"/>
    <w:rsid w:val="00571BB3"/>
    <w:rsid w:val="00581BC7"/>
    <w:rsid w:val="00584E92"/>
    <w:rsid w:val="0059006A"/>
    <w:rsid w:val="00593770"/>
    <w:rsid w:val="0059747B"/>
    <w:rsid w:val="005A1792"/>
    <w:rsid w:val="005A203D"/>
    <w:rsid w:val="005A3A62"/>
    <w:rsid w:val="005A48B4"/>
    <w:rsid w:val="005A51C7"/>
    <w:rsid w:val="005A5389"/>
    <w:rsid w:val="005A5D25"/>
    <w:rsid w:val="005B03B6"/>
    <w:rsid w:val="005B13BE"/>
    <w:rsid w:val="005B6083"/>
    <w:rsid w:val="005C1005"/>
    <w:rsid w:val="005C461D"/>
    <w:rsid w:val="005C49D2"/>
    <w:rsid w:val="005C69B5"/>
    <w:rsid w:val="005C79B9"/>
    <w:rsid w:val="005D22F4"/>
    <w:rsid w:val="005D50B0"/>
    <w:rsid w:val="005D5D6C"/>
    <w:rsid w:val="005E269B"/>
    <w:rsid w:val="005E2D3E"/>
    <w:rsid w:val="005E73EF"/>
    <w:rsid w:val="005F2B22"/>
    <w:rsid w:val="005F5B1E"/>
    <w:rsid w:val="0060081D"/>
    <w:rsid w:val="00604120"/>
    <w:rsid w:val="00604694"/>
    <w:rsid w:val="00604B10"/>
    <w:rsid w:val="00620F3A"/>
    <w:rsid w:val="006216C9"/>
    <w:rsid w:val="00622B7A"/>
    <w:rsid w:val="00624943"/>
    <w:rsid w:val="00624E08"/>
    <w:rsid w:val="00634E26"/>
    <w:rsid w:val="006367B5"/>
    <w:rsid w:val="0063725F"/>
    <w:rsid w:val="00647053"/>
    <w:rsid w:val="0064706D"/>
    <w:rsid w:val="00650DED"/>
    <w:rsid w:val="00651146"/>
    <w:rsid w:val="00652679"/>
    <w:rsid w:val="006575F4"/>
    <w:rsid w:val="0066131F"/>
    <w:rsid w:val="0066513F"/>
    <w:rsid w:val="0066720D"/>
    <w:rsid w:val="00671D45"/>
    <w:rsid w:val="00674B3A"/>
    <w:rsid w:val="00676780"/>
    <w:rsid w:val="00676B9D"/>
    <w:rsid w:val="00677757"/>
    <w:rsid w:val="006804C7"/>
    <w:rsid w:val="00680982"/>
    <w:rsid w:val="00682A1D"/>
    <w:rsid w:val="0068342E"/>
    <w:rsid w:val="00683981"/>
    <w:rsid w:val="00684C51"/>
    <w:rsid w:val="00684CE9"/>
    <w:rsid w:val="00687B0E"/>
    <w:rsid w:val="00690AE2"/>
    <w:rsid w:val="00691F7A"/>
    <w:rsid w:val="006A10EE"/>
    <w:rsid w:val="006A3AFF"/>
    <w:rsid w:val="006A3FFD"/>
    <w:rsid w:val="006A658B"/>
    <w:rsid w:val="006B245F"/>
    <w:rsid w:val="006B34DB"/>
    <w:rsid w:val="006B6B79"/>
    <w:rsid w:val="006B7F04"/>
    <w:rsid w:val="006C1CF1"/>
    <w:rsid w:val="006C67A7"/>
    <w:rsid w:val="006C6AD6"/>
    <w:rsid w:val="006D0589"/>
    <w:rsid w:val="006D1BD4"/>
    <w:rsid w:val="006D340A"/>
    <w:rsid w:val="006E0532"/>
    <w:rsid w:val="006E1ACB"/>
    <w:rsid w:val="006E396A"/>
    <w:rsid w:val="006E3A13"/>
    <w:rsid w:val="006E77C6"/>
    <w:rsid w:val="006F29D1"/>
    <w:rsid w:val="006F44D4"/>
    <w:rsid w:val="006F4B88"/>
    <w:rsid w:val="006F675B"/>
    <w:rsid w:val="00702634"/>
    <w:rsid w:val="00704C14"/>
    <w:rsid w:val="00706128"/>
    <w:rsid w:val="00711740"/>
    <w:rsid w:val="00713ABA"/>
    <w:rsid w:val="007179E9"/>
    <w:rsid w:val="0072026C"/>
    <w:rsid w:val="0072096C"/>
    <w:rsid w:val="00726D25"/>
    <w:rsid w:val="00730BEE"/>
    <w:rsid w:val="0073443F"/>
    <w:rsid w:val="0073542E"/>
    <w:rsid w:val="00740480"/>
    <w:rsid w:val="00740D37"/>
    <w:rsid w:val="00743394"/>
    <w:rsid w:val="00747D1C"/>
    <w:rsid w:val="00754DDF"/>
    <w:rsid w:val="007614E3"/>
    <w:rsid w:val="007630CE"/>
    <w:rsid w:val="007664ED"/>
    <w:rsid w:val="00770352"/>
    <w:rsid w:val="00771FD6"/>
    <w:rsid w:val="007721E7"/>
    <w:rsid w:val="007725EC"/>
    <w:rsid w:val="0077659D"/>
    <w:rsid w:val="007778C9"/>
    <w:rsid w:val="00781378"/>
    <w:rsid w:val="007829E2"/>
    <w:rsid w:val="00786F0D"/>
    <w:rsid w:val="00787DAB"/>
    <w:rsid w:val="007902BE"/>
    <w:rsid w:val="007916A2"/>
    <w:rsid w:val="0079202E"/>
    <w:rsid w:val="007963BF"/>
    <w:rsid w:val="00797DAC"/>
    <w:rsid w:val="007A00B8"/>
    <w:rsid w:val="007A2588"/>
    <w:rsid w:val="007A5B49"/>
    <w:rsid w:val="007A7693"/>
    <w:rsid w:val="007B1346"/>
    <w:rsid w:val="007B16AB"/>
    <w:rsid w:val="007B5F55"/>
    <w:rsid w:val="007C4496"/>
    <w:rsid w:val="007C68B9"/>
    <w:rsid w:val="007C6CFE"/>
    <w:rsid w:val="007C7E22"/>
    <w:rsid w:val="007D272F"/>
    <w:rsid w:val="007D7186"/>
    <w:rsid w:val="007E0F59"/>
    <w:rsid w:val="007E220D"/>
    <w:rsid w:val="007E2C32"/>
    <w:rsid w:val="007E2DA2"/>
    <w:rsid w:val="007E5940"/>
    <w:rsid w:val="007E6A6D"/>
    <w:rsid w:val="007F0240"/>
    <w:rsid w:val="007F0BC4"/>
    <w:rsid w:val="007F1FCF"/>
    <w:rsid w:val="007F2C53"/>
    <w:rsid w:val="007F30F1"/>
    <w:rsid w:val="007F38CA"/>
    <w:rsid w:val="007F3979"/>
    <w:rsid w:val="007F4BEB"/>
    <w:rsid w:val="007F5086"/>
    <w:rsid w:val="007F5951"/>
    <w:rsid w:val="00812580"/>
    <w:rsid w:val="00815D4C"/>
    <w:rsid w:val="00816287"/>
    <w:rsid w:val="00816BB9"/>
    <w:rsid w:val="00825240"/>
    <w:rsid w:val="00832A12"/>
    <w:rsid w:val="008341D5"/>
    <w:rsid w:val="00840DC7"/>
    <w:rsid w:val="00841F3E"/>
    <w:rsid w:val="00842076"/>
    <w:rsid w:val="00842C96"/>
    <w:rsid w:val="00843977"/>
    <w:rsid w:val="00844E39"/>
    <w:rsid w:val="00850534"/>
    <w:rsid w:val="00850E69"/>
    <w:rsid w:val="008600F2"/>
    <w:rsid w:val="008619C1"/>
    <w:rsid w:val="00863DCC"/>
    <w:rsid w:val="008646CD"/>
    <w:rsid w:val="00864B67"/>
    <w:rsid w:val="00871274"/>
    <w:rsid w:val="00873417"/>
    <w:rsid w:val="00874D6F"/>
    <w:rsid w:val="0087593C"/>
    <w:rsid w:val="008875C0"/>
    <w:rsid w:val="00891222"/>
    <w:rsid w:val="00895CC5"/>
    <w:rsid w:val="008965F1"/>
    <w:rsid w:val="008A0457"/>
    <w:rsid w:val="008A1543"/>
    <w:rsid w:val="008A7470"/>
    <w:rsid w:val="008B0176"/>
    <w:rsid w:val="008B3AE5"/>
    <w:rsid w:val="008B53B7"/>
    <w:rsid w:val="008B5B00"/>
    <w:rsid w:val="008B5F97"/>
    <w:rsid w:val="008C07C2"/>
    <w:rsid w:val="008C0CB8"/>
    <w:rsid w:val="008C2F35"/>
    <w:rsid w:val="008C6CE4"/>
    <w:rsid w:val="008D0BE9"/>
    <w:rsid w:val="008D25F4"/>
    <w:rsid w:val="008D26F3"/>
    <w:rsid w:val="008D3D0D"/>
    <w:rsid w:val="008D4F52"/>
    <w:rsid w:val="008E028C"/>
    <w:rsid w:val="008E1763"/>
    <w:rsid w:val="008E2267"/>
    <w:rsid w:val="008E26A4"/>
    <w:rsid w:val="008F1BFC"/>
    <w:rsid w:val="009006E4"/>
    <w:rsid w:val="00904B9C"/>
    <w:rsid w:val="009055AF"/>
    <w:rsid w:val="00905F9E"/>
    <w:rsid w:val="00914899"/>
    <w:rsid w:val="00915965"/>
    <w:rsid w:val="00915BBA"/>
    <w:rsid w:val="00916062"/>
    <w:rsid w:val="00916E99"/>
    <w:rsid w:val="00922B67"/>
    <w:rsid w:val="00923A33"/>
    <w:rsid w:val="00926C4C"/>
    <w:rsid w:val="00927E06"/>
    <w:rsid w:val="0093021E"/>
    <w:rsid w:val="0093050A"/>
    <w:rsid w:val="009325E8"/>
    <w:rsid w:val="00932611"/>
    <w:rsid w:val="00934020"/>
    <w:rsid w:val="009340B8"/>
    <w:rsid w:val="00940140"/>
    <w:rsid w:val="00942942"/>
    <w:rsid w:val="00942F49"/>
    <w:rsid w:val="009431DA"/>
    <w:rsid w:val="00945AC2"/>
    <w:rsid w:val="009470D5"/>
    <w:rsid w:val="00947BAB"/>
    <w:rsid w:val="00950092"/>
    <w:rsid w:val="00950213"/>
    <w:rsid w:val="00953EBB"/>
    <w:rsid w:val="009554CD"/>
    <w:rsid w:val="0095745B"/>
    <w:rsid w:val="009627BF"/>
    <w:rsid w:val="009628FC"/>
    <w:rsid w:val="00962C6D"/>
    <w:rsid w:val="00965C72"/>
    <w:rsid w:val="00965EB6"/>
    <w:rsid w:val="00971390"/>
    <w:rsid w:val="009719CD"/>
    <w:rsid w:val="00972442"/>
    <w:rsid w:val="009758BB"/>
    <w:rsid w:val="009812D8"/>
    <w:rsid w:val="00981B1B"/>
    <w:rsid w:val="009833BA"/>
    <w:rsid w:val="00987E89"/>
    <w:rsid w:val="00991885"/>
    <w:rsid w:val="00994E1A"/>
    <w:rsid w:val="009A11ED"/>
    <w:rsid w:val="009A2036"/>
    <w:rsid w:val="009A6373"/>
    <w:rsid w:val="009A78FA"/>
    <w:rsid w:val="009A7B03"/>
    <w:rsid w:val="009A7FE1"/>
    <w:rsid w:val="009B0C33"/>
    <w:rsid w:val="009B20E2"/>
    <w:rsid w:val="009B3434"/>
    <w:rsid w:val="009B37A7"/>
    <w:rsid w:val="009B454A"/>
    <w:rsid w:val="009B53E5"/>
    <w:rsid w:val="009C03E2"/>
    <w:rsid w:val="009C15D9"/>
    <w:rsid w:val="009C16DC"/>
    <w:rsid w:val="009C21B6"/>
    <w:rsid w:val="009C4004"/>
    <w:rsid w:val="009C4CAA"/>
    <w:rsid w:val="009C74A2"/>
    <w:rsid w:val="009D122B"/>
    <w:rsid w:val="009D1BC6"/>
    <w:rsid w:val="009D6615"/>
    <w:rsid w:val="009E130E"/>
    <w:rsid w:val="009E49D2"/>
    <w:rsid w:val="009E58E4"/>
    <w:rsid w:val="009E71FA"/>
    <w:rsid w:val="009F68C4"/>
    <w:rsid w:val="00A00402"/>
    <w:rsid w:val="00A04D28"/>
    <w:rsid w:val="00A0647C"/>
    <w:rsid w:val="00A0760D"/>
    <w:rsid w:val="00A12B7F"/>
    <w:rsid w:val="00A15267"/>
    <w:rsid w:val="00A156A4"/>
    <w:rsid w:val="00A16EC8"/>
    <w:rsid w:val="00A1753B"/>
    <w:rsid w:val="00A21419"/>
    <w:rsid w:val="00A228D0"/>
    <w:rsid w:val="00A25888"/>
    <w:rsid w:val="00A25A29"/>
    <w:rsid w:val="00A26FC4"/>
    <w:rsid w:val="00A277D4"/>
    <w:rsid w:val="00A309DD"/>
    <w:rsid w:val="00A35BE9"/>
    <w:rsid w:val="00A36489"/>
    <w:rsid w:val="00A40A5E"/>
    <w:rsid w:val="00A4483F"/>
    <w:rsid w:val="00A45414"/>
    <w:rsid w:val="00A457E1"/>
    <w:rsid w:val="00A4644B"/>
    <w:rsid w:val="00A5039F"/>
    <w:rsid w:val="00A56C84"/>
    <w:rsid w:val="00A60467"/>
    <w:rsid w:val="00A618B3"/>
    <w:rsid w:val="00A61A7E"/>
    <w:rsid w:val="00A62FA5"/>
    <w:rsid w:val="00A63081"/>
    <w:rsid w:val="00A63381"/>
    <w:rsid w:val="00A661F8"/>
    <w:rsid w:val="00A67CBE"/>
    <w:rsid w:val="00A702CE"/>
    <w:rsid w:val="00A71A64"/>
    <w:rsid w:val="00A71F37"/>
    <w:rsid w:val="00A72EFF"/>
    <w:rsid w:val="00A738A5"/>
    <w:rsid w:val="00A76201"/>
    <w:rsid w:val="00A778AF"/>
    <w:rsid w:val="00A77C90"/>
    <w:rsid w:val="00A8061E"/>
    <w:rsid w:val="00A81E63"/>
    <w:rsid w:val="00A869DD"/>
    <w:rsid w:val="00A91AEE"/>
    <w:rsid w:val="00A94504"/>
    <w:rsid w:val="00AA0114"/>
    <w:rsid w:val="00AB1B80"/>
    <w:rsid w:val="00AB1C07"/>
    <w:rsid w:val="00AB30CC"/>
    <w:rsid w:val="00AB3F4C"/>
    <w:rsid w:val="00AB7DAB"/>
    <w:rsid w:val="00AD0520"/>
    <w:rsid w:val="00AD0980"/>
    <w:rsid w:val="00AD3782"/>
    <w:rsid w:val="00AD71DB"/>
    <w:rsid w:val="00AE2518"/>
    <w:rsid w:val="00AE6D77"/>
    <w:rsid w:val="00AE7386"/>
    <w:rsid w:val="00AF1472"/>
    <w:rsid w:val="00AF57DE"/>
    <w:rsid w:val="00AF704A"/>
    <w:rsid w:val="00B10A20"/>
    <w:rsid w:val="00B10F03"/>
    <w:rsid w:val="00B1141D"/>
    <w:rsid w:val="00B12C92"/>
    <w:rsid w:val="00B1421A"/>
    <w:rsid w:val="00B14B7E"/>
    <w:rsid w:val="00B155D1"/>
    <w:rsid w:val="00B17064"/>
    <w:rsid w:val="00B212E4"/>
    <w:rsid w:val="00B21BA7"/>
    <w:rsid w:val="00B22135"/>
    <w:rsid w:val="00B22349"/>
    <w:rsid w:val="00B23492"/>
    <w:rsid w:val="00B261C9"/>
    <w:rsid w:val="00B26A7A"/>
    <w:rsid w:val="00B2753B"/>
    <w:rsid w:val="00B314F7"/>
    <w:rsid w:val="00B356D4"/>
    <w:rsid w:val="00B4600D"/>
    <w:rsid w:val="00B4783D"/>
    <w:rsid w:val="00B47BB9"/>
    <w:rsid w:val="00B51364"/>
    <w:rsid w:val="00B53E3E"/>
    <w:rsid w:val="00B56DBB"/>
    <w:rsid w:val="00B56E80"/>
    <w:rsid w:val="00B609BB"/>
    <w:rsid w:val="00B60D51"/>
    <w:rsid w:val="00B6151B"/>
    <w:rsid w:val="00B63055"/>
    <w:rsid w:val="00B634F4"/>
    <w:rsid w:val="00B6399E"/>
    <w:rsid w:val="00B70EF6"/>
    <w:rsid w:val="00B70F70"/>
    <w:rsid w:val="00B71B01"/>
    <w:rsid w:val="00B73F00"/>
    <w:rsid w:val="00B7481D"/>
    <w:rsid w:val="00B75024"/>
    <w:rsid w:val="00B77425"/>
    <w:rsid w:val="00B8263B"/>
    <w:rsid w:val="00B82692"/>
    <w:rsid w:val="00B82959"/>
    <w:rsid w:val="00B84350"/>
    <w:rsid w:val="00B858FA"/>
    <w:rsid w:val="00B85A96"/>
    <w:rsid w:val="00B93DE0"/>
    <w:rsid w:val="00B94370"/>
    <w:rsid w:val="00B96AC3"/>
    <w:rsid w:val="00BA1D81"/>
    <w:rsid w:val="00BA24BE"/>
    <w:rsid w:val="00BA501E"/>
    <w:rsid w:val="00BA6591"/>
    <w:rsid w:val="00BA6B2F"/>
    <w:rsid w:val="00BA7695"/>
    <w:rsid w:val="00BB175D"/>
    <w:rsid w:val="00BB248C"/>
    <w:rsid w:val="00BB33B6"/>
    <w:rsid w:val="00BB3F88"/>
    <w:rsid w:val="00BC28F6"/>
    <w:rsid w:val="00BC583D"/>
    <w:rsid w:val="00BD2379"/>
    <w:rsid w:val="00BD41E2"/>
    <w:rsid w:val="00BD4896"/>
    <w:rsid w:val="00BD5867"/>
    <w:rsid w:val="00BD5F61"/>
    <w:rsid w:val="00BD7115"/>
    <w:rsid w:val="00BE0AA2"/>
    <w:rsid w:val="00BE5812"/>
    <w:rsid w:val="00BE7A9C"/>
    <w:rsid w:val="00BF1669"/>
    <w:rsid w:val="00BF2333"/>
    <w:rsid w:val="00C016F9"/>
    <w:rsid w:val="00C0377D"/>
    <w:rsid w:val="00C048E3"/>
    <w:rsid w:val="00C10A51"/>
    <w:rsid w:val="00C10F7F"/>
    <w:rsid w:val="00C20EF1"/>
    <w:rsid w:val="00C254D7"/>
    <w:rsid w:val="00C368BE"/>
    <w:rsid w:val="00C378DA"/>
    <w:rsid w:val="00C43698"/>
    <w:rsid w:val="00C4485C"/>
    <w:rsid w:val="00C45122"/>
    <w:rsid w:val="00C53A79"/>
    <w:rsid w:val="00C5464A"/>
    <w:rsid w:val="00C65BF2"/>
    <w:rsid w:val="00C6706F"/>
    <w:rsid w:val="00C678EB"/>
    <w:rsid w:val="00C72555"/>
    <w:rsid w:val="00C744BD"/>
    <w:rsid w:val="00C74C40"/>
    <w:rsid w:val="00C75267"/>
    <w:rsid w:val="00C86D0D"/>
    <w:rsid w:val="00C9291F"/>
    <w:rsid w:val="00C93363"/>
    <w:rsid w:val="00CA11CB"/>
    <w:rsid w:val="00CA385F"/>
    <w:rsid w:val="00CA4294"/>
    <w:rsid w:val="00CB0DAF"/>
    <w:rsid w:val="00CB5EEF"/>
    <w:rsid w:val="00CB770D"/>
    <w:rsid w:val="00CC21AA"/>
    <w:rsid w:val="00CC6897"/>
    <w:rsid w:val="00CE1A13"/>
    <w:rsid w:val="00CE37DA"/>
    <w:rsid w:val="00CF67A3"/>
    <w:rsid w:val="00D0415B"/>
    <w:rsid w:val="00D066D7"/>
    <w:rsid w:val="00D06809"/>
    <w:rsid w:val="00D06894"/>
    <w:rsid w:val="00D07F2C"/>
    <w:rsid w:val="00D1357C"/>
    <w:rsid w:val="00D165B2"/>
    <w:rsid w:val="00D1739E"/>
    <w:rsid w:val="00D17E21"/>
    <w:rsid w:val="00D204F1"/>
    <w:rsid w:val="00D214C8"/>
    <w:rsid w:val="00D240FC"/>
    <w:rsid w:val="00D24818"/>
    <w:rsid w:val="00D25DDB"/>
    <w:rsid w:val="00D25FD3"/>
    <w:rsid w:val="00D347BE"/>
    <w:rsid w:val="00D34B61"/>
    <w:rsid w:val="00D40CA4"/>
    <w:rsid w:val="00D4327F"/>
    <w:rsid w:val="00D45C85"/>
    <w:rsid w:val="00D5468F"/>
    <w:rsid w:val="00D57EE9"/>
    <w:rsid w:val="00D60208"/>
    <w:rsid w:val="00D62FF3"/>
    <w:rsid w:val="00D645B9"/>
    <w:rsid w:val="00D662D4"/>
    <w:rsid w:val="00D706E5"/>
    <w:rsid w:val="00D73C9A"/>
    <w:rsid w:val="00D74892"/>
    <w:rsid w:val="00D7701F"/>
    <w:rsid w:val="00D839A8"/>
    <w:rsid w:val="00D8480A"/>
    <w:rsid w:val="00D86606"/>
    <w:rsid w:val="00D87D25"/>
    <w:rsid w:val="00D9130B"/>
    <w:rsid w:val="00D957C2"/>
    <w:rsid w:val="00D96DC7"/>
    <w:rsid w:val="00DA241E"/>
    <w:rsid w:val="00DA642C"/>
    <w:rsid w:val="00DA762A"/>
    <w:rsid w:val="00DA7A50"/>
    <w:rsid w:val="00DB23DE"/>
    <w:rsid w:val="00DB2DE3"/>
    <w:rsid w:val="00DB60FF"/>
    <w:rsid w:val="00DC19D1"/>
    <w:rsid w:val="00DC1C15"/>
    <w:rsid w:val="00DD5300"/>
    <w:rsid w:val="00DE0180"/>
    <w:rsid w:val="00DE2D72"/>
    <w:rsid w:val="00DE3E42"/>
    <w:rsid w:val="00DE6ADD"/>
    <w:rsid w:val="00DF0D35"/>
    <w:rsid w:val="00DF18CB"/>
    <w:rsid w:val="00DF31DC"/>
    <w:rsid w:val="00DF7548"/>
    <w:rsid w:val="00DF77AE"/>
    <w:rsid w:val="00E0291B"/>
    <w:rsid w:val="00E02D61"/>
    <w:rsid w:val="00E05371"/>
    <w:rsid w:val="00E06A42"/>
    <w:rsid w:val="00E15FF6"/>
    <w:rsid w:val="00E310C9"/>
    <w:rsid w:val="00E31811"/>
    <w:rsid w:val="00E31B2A"/>
    <w:rsid w:val="00E37711"/>
    <w:rsid w:val="00E41113"/>
    <w:rsid w:val="00E42EFB"/>
    <w:rsid w:val="00E45F2D"/>
    <w:rsid w:val="00E506E8"/>
    <w:rsid w:val="00E52A50"/>
    <w:rsid w:val="00E54F02"/>
    <w:rsid w:val="00E5505A"/>
    <w:rsid w:val="00E57C55"/>
    <w:rsid w:val="00E6033C"/>
    <w:rsid w:val="00E61504"/>
    <w:rsid w:val="00E6284D"/>
    <w:rsid w:val="00E62987"/>
    <w:rsid w:val="00E6606D"/>
    <w:rsid w:val="00E70620"/>
    <w:rsid w:val="00E70FC3"/>
    <w:rsid w:val="00E7185A"/>
    <w:rsid w:val="00E7265A"/>
    <w:rsid w:val="00E7265B"/>
    <w:rsid w:val="00E83038"/>
    <w:rsid w:val="00E83B71"/>
    <w:rsid w:val="00E872F9"/>
    <w:rsid w:val="00E906DF"/>
    <w:rsid w:val="00E9277A"/>
    <w:rsid w:val="00E92B30"/>
    <w:rsid w:val="00E97C4D"/>
    <w:rsid w:val="00EA31D2"/>
    <w:rsid w:val="00EA329E"/>
    <w:rsid w:val="00EA7349"/>
    <w:rsid w:val="00EB36E6"/>
    <w:rsid w:val="00EB4424"/>
    <w:rsid w:val="00EB5B9A"/>
    <w:rsid w:val="00EB7BAD"/>
    <w:rsid w:val="00EB7CB1"/>
    <w:rsid w:val="00EC0358"/>
    <w:rsid w:val="00EC314C"/>
    <w:rsid w:val="00EC45D9"/>
    <w:rsid w:val="00EC531E"/>
    <w:rsid w:val="00ED10ED"/>
    <w:rsid w:val="00ED17E8"/>
    <w:rsid w:val="00EE3087"/>
    <w:rsid w:val="00EF14CD"/>
    <w:rsid w:val="00EF59A1"/>
    <w:rsid w:val="00F02F9B"/>
    <w:rsid w:val="00F04802"/>
    <w:rsid w:val="00F076B2"/>
    <w:rsid w:val="00F0784F"/>
    <w:rsid w:val="00F1026B"/>
    <w:rsid w:val="00F1254F"/>
    <w:rsid w:val="00F13D75"/>
    <w:rsid w:val="00F140BF"/>
    <w:rsid w:val="00F147F1"/>
    <w:rsid w:val="00F15B2C"/>
    <w:rsid w:val="00F16F20"/>
    <w:rsid w:val="00F17E4A"/>
    <w:rsid w:val="00F20845"/>
    <w:rsid w:val="00F22D84"/>
    <w:rsid w:val="00F300F1"/>
    <w:rsid w:val="00F308BA"/>
    <w:rsid w:val="00F32B3D"/>
    <w:rsid w:val="00F347DE"/>
    <w:rsid w:val="00F35135"/>
    <w:rsid w:val="00F41356"/>
    <w:rsid w:val="00F4162C"/>
    <w:rsid w:val="00F46299"/>
    <w:rsid w:val="00F5174A"/>
    <w:rsid w:val="00F53033"/>
    <w:rsid w:val="00F5690E"/>
    <w:rsid w:val="00F57C82"/>
    <w:rsid w:val="00F669AA"/>
    <w:rsid w:val="00F66F27"/>
    <w:rsid w:val="00F72187"/>
    <w:rsid w:val="00F72DBC"/>
    <w:rsid w:val="00F73342"/>
    <w:rsid w:val="00F73CE6"/>
    <w:rsid w:val="00F73E17"/>
    <w:rsid w:val="00F74182"/>
    <w:rsid w:val="00F76184"/>
    <w:rsid w:val="00F76924"/>
    <w:rsid w:val="00F7795E"/>
    <w:rsid w:val="00F81333"/>
    <w:rsid w:val="00F82B15"/>
    <w:rsid w:val="00F8412D"/>
    <w:rsid w:val="00F87C65"/>
    <w:rsid w:val="00F92EF7"/>
    <w:rsid w:val="00F946F2"/>
    <w:rsid w:val="00F956C2"/>
    <w:rsid w:val="00FB0208"/>
    <w:rsid w:val="00FB2A11"/>
    <w:rsid w:val="00FB5438"/>
    <w:rsid w:val="00FB71C0"/>
    <w:rsid w:val="00FB7C0D"/>
    <w:rsid w:val="00FC24B5"/>
    <w:rsid w:val="00FC4AFC"/>
    <w:rsid w:val="00FD0C42"/>
    <w:rsid w:val="00FD25AF"/>
    <w:rsid w:val="00FD3D99"/>
    <w:rsid w:val="00FD63F9"/>
    <w:rsid w:val="00FD6892"/>
    <w:rsid w:val="00FE4268"/>
    <w:rsid w:val="00FE5584"/>
    <w:rsid w:val="00FE7568"/>
    <w:rsid w:val="00FF0C6C"/>
    <w:rsid w:val="00FF4A8F"/>
    <w:rsid w:val="00FF64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9241C1"/>
  <w15:docId w15:val="{0C6EA35B-CB36-4D3A-A328-7F6F100B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22DE"/>
    <w:rPr>
      <w:sz w:val="24"/>
      <w:szCs w:val="24"/>
    </w:rPr>
  </w:style>
  <w:style w:type="paragraph" w:styleId="Ttulo1">
    <w:name w:val="heading 1"/>
    <w:basedOn w:val="Normal"/>
    <w:next w:val="Normal"/>
    <w:qFormat/>
    <w:rsid w:val="001422DE"/>
    <w:pPr>
      <w:keepNext/>
      <w:ind w:left="360"/>
      <w:jc w:val="center"/>
      <w:outlineLvl w:val="0"/>
    </w:pPr>
    <w:rPr>
      <w:b/>
      <w:bCs/>
      <w:lang w:val="es-MX"/>
    </w:rPr>
  </w:style>
  <w:style w:type="paragraph" w:styleId="Ttulo2">
    <w:name w:val="heading 2"/>
    <w:basedOn w:val="Normal"/>
    <w:next w:val="Normal"/>
    <w:qFormat/>
    <w:rsid w:val="001422DE"/>
    <w:pPr>
      <w:keepNext/>
      <w:jc w:val="center"/>
      <w:outlineLvl w:val="1"/>
    </w:pPr>
    <w:rPr>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422DE"/>
    <w:pPr>
      <w:ind w:left="360" w:firstLine="360"/>
    </w:pPr>
    <w:rPr>
      <w:lang w:val="es-MX"/>
    </w:rPr>
  </w:style>
  <w:style w:type="paragraph" w:styleId="Sangra2detindependiente">
    <w:name w:val="Body Text Indent 2"/>
    <w:basedOn w:val="Normal"/>
    <w:link w:val="Sangra2detindependienteCar"/>
    <w:rsid w:val="001422DE"/>
    <w:pPr>
      <w:ind w:left="720"/>
    </w:pPr>
    <w:rPr>
      <w:lang w:val="es-MX"/>
    </w:rPr>
  </w:style>
  <w:style w:type="paragraph" w:styleId="Ttulo">
    <w:name w:val="Title"/>
    <w:basedOn w:val="Normal"/>
    <w:qFormat/>
    <w:rsid w:val="001422DE"/>
    <w:pPr>
      <w:jc w:val="center"/>
    </w:pPr>
    <w:rPr>
      <w:b/>
      <w:bCs/>
      <w:lang w:val="es-MX"/>
    </w:rPr>
  </w:style>
  <w:style w:type="paragraph" w:styleId="Sangra3detindependiente">
    <w:name w:val="Body Text Indent 3"/>
    <w:basedOn w:val="Normal"/>
    <w:rsid w:val="001422DE"/>
    <w:pPr>
      <w:ind w:left="720" w:hanging="360"/>
    </w:pPr>
    <w:rPr>
      <w:lang w:val="es-MX"/>
    </w:rPr>
  </w:style>
  <w:style w:type="paragraph" w:styleId="Encabezado">
    <w:name w:val="header"/>
    <w:basedOn w:val="Normal"/>
    <w:rsid w:val="001422DE"/>
    <w:pPr>
      <w:tabs>
        <w:tab w:val="center" w:pos="4252"/>
        <w:tab w:val="right" w:pos="8504"/>
      </w:tabs>
    </w:pPr>
  </w:style>
  <w:style w:type="paragraph" w:styleId="Piedepgina">
    <w:name w:val="footer"/>
    <w:basedOn w:val="Normal"/>
    <w:link w:val="PiedepginaCar"/>
    <w:uiPriority w:val="99"/>
    <w:rsid w:val="001422DE"/>
    <w:pPr>
      <w:tabs>
        <w:tab w:val="center" w:pos="4252"/>
        <w:tab w:val="right" w:pos="8504"/>
      </w:tabs>
    </w:pPr>
  </w:style>
  <w:style w:type="paragraph" w:styleId="Textodeglobo">
    <w:name w:val="Balloon Text"/>
    <w:basedOn w:val="Normal"/>
    <w:semiHidden/>
    <w:rsid w:val="009C15D9"/>
    <w:rPr>
      <w:rFonts w:ascii="Tahoma" w:hAnsi="Tahoma" w:cs="Tahoma"/>
      <w:sz w:val="16"/>
      <w:szCs w:val="16"/>
    </w:rPr>
  </w:style>
  <w:style w:type="table" w:styleId="Tablaconcuadrcula">
    <w:name w:val="Table Grid"/>
    <w:basedOn w:val="Tablanormal"/>
    <w:rsid w:val="00AA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9340B8"/>
    <w:rPr>
      <w:sz w:val="16"/>
      <w:szCs w:val="16"/>
    </w:rPr>
  </w:style>
  <w:style w:type="paragraph" w:styleId="Textocomentario">
    <w:name w:val="annotation text"/>
    <w:basedOn w:val="Normal"/>
    <w:semiHidden/>
    <w:rsid w:val="009340B8"/>
    <w:rPr>
      <w:sz w:val="20"/>
      <w:szCs w:val="20"/>
    </w:rPr>
  </w:style>
  <w:style w:type="paragraph" w:styleId="Asuntodelcomentario">
    <w:name w:val="annotation subject"/>
    <w:basedOn w:val="Textocomentario"/>
    <w:next w:val="Textocomentario"/>
    <w:semiHidden/>
    <w:rsid w:val="009340B8"/>
    <w:rPr>
      <w:b/>
      <w:bCs/>
    </w:rPr>
  </w:style>
  <w:style w:type="paragraph" w:styleId="Textonotapie">
    <w:name w:val="footnote text"/>
    <w:basedOn w:val="Normal"/>
    <w:semiHidden/>
    <w:rsid w:val="00B10A20"/>
    <w:rPr>
      <w:sz w:val="20"/>
      <w:szCs w:val="20"/>
    </w:rPr>
  </w:style>
  <w:style w:type="character" w:styleId="Refdenotaalpie">
    <w:name w:val="footnote reference"/>
    <w:basedOn w:val="Fuentedeprrafopredeter"/>
    <w:semiHidden/>
    <w:rsid w:val="00B10A20"/>
    <w:rPr>
      <w:vertAlign w:val="superscript"/>
    </w:rPr>
  </w:style>
  <w:style w:type="paragraph" w:styleId="Textoindependiente">
    <w:name w:val="Body Text"/>
    <w:basedOn w:val="Normal"/>
    <w:link w:val="TextoindependienteCar"/>
    <w:rsid w:val="00BD2379"/>
    <w:pPr>
      <w:spacing w:after="120"/>
    </w:pPr>
  </w:style>
  <w:style w:type="paragraph" w:styleId="Prrafodelista">
    <w:name w:val="List Paragraph"/>
    <w:basedOn w:val="Normal"/>
    <w:uiPriority w:val="34"/>
    <w:qFormat/>
    <w:rsid w:val="0022673D"/>
    <w:pPr>
      <w:ind w:left="708"/>
    </w:pPr>
  </w:style>
  <w:style w:type="character" w:customStyle="1" w:styleId="PiedepginaCar">
    <w:name w:val="Pie de página Car"/>
    <w:basedOn w:val="Fuentedeprrafopredeter"/>
    <w:link w:val="Piedepgina"/>
    <w:uiPriority w:val="99"/>
    <w:rsid w:val="00A0647C"/>
    <w:rPr>
      <w:sz w:val="24"/>
      <w:szCs w:val="24"/>
    </w:rPr>
  </w:style>
  <w:style w:type="character" w:styleId="Hipervnculo">
    <w:name w:val="Hyperlink"/>
    <w:basedOn w:val="Fuentedeprrafopredeter"/>
    <w:uiPriority w:val="99"/>
    <w:unhideWhenUsed/>
    <w:rsid w:val="00EB7BAD"/>
    <w:rPr>
      <w:color w:val="0000FF" w:themeColor="hyperlink"/>
      <w:u w:val="single"/>
    </w:rPr>
  </w:style>
  <w:style w:type="paragraph" w:customStyle="1" w:styleId="Default">
    <w:name w:val="Default"/>
    <w:rsid w:val="00E54F02"/>
    <w:pPr>
      <w:autoSpaceDE w:val="0"/>
      <w:autoSpaceDN w:val="0"/>
      <w:adjustRightInd w:val="0"/>
    </w:pPr>
    <w:rPr>
      <w:rFonts w:ascii="Arial" w:hAnsi="Arial" w:cs="Arial"/>
      <w:color w:val="000000"/>
      <w:sz w:val="24"/>
      <w:szCs w:val="24"/>
      <w:lang w:val="es-CR"/>
    </w:rPr>
  </w:style>
  <w:style w:type="character" w:customStyle="1" w:styleId="TextoindependienteCar">
    <w:name w:val="Texto independiente Car"/>
    <w:basedOn w:val="Fuentedeprrafopredeter"/>
    <w:link w:val="Textoindependiente"/>
    <w:rsid w:val="001236B5"/>
    <w:rPr>
      <w:sz w:val="24"/>
      <w:szCs w:val="24"/>
    </w:rPr>
  </w:style>
  <w:style w:type="character" w:customStyle="1" w:styleId="Sangra2detindependienteCar">
    <w:name w:val="Sangría 2 de t. independiente Car"/>
    <w:basedOn w:val="Fuentedeprrafopredeter"/>
    <w:link w:val="Sangra2detindependiente"/>
    <w:rsid w:val="007A7693"/>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5915">
      <w:bodyDiv w:val="1"/>
      <w:marLeft w:val="0"/>
      <w:marRight w:val="0"/>
      <w:marTop w:val="0"/>
      <w:marBottom w:val="0"/>
      <w:divBdr>
        <w:top w:val="none" w:sz="0" w:space="0" w:color="auto"/>
        <w:left w:val="none" w:sz="0" w:space="0" w:color="auto"/>
        <w:bottom w:val="none" w:sz="0" w:space="0" w:color="auto"/>
        <w:right w:val="none" w:sz="0" w:space="0" w:color="auto"/>
      </w:divBdr>
    </w:div>
    <w:div w:id="746421875">
      <w:bodyDiv w:val="1"/>
      <w:marLeft w:val="0"/>
      <w:marRight w:val="0"/>
      <w:marTop w:val="0"/>
      <w:marBottom w:val="0"/>
      <w:divBdr>
        <w:top w:val="none" w:sz="0" w:space="0" w:color="auto"/>
        <w:left w:val="none" w:sz="0" w:space="0" w:color="auto"/>
        <w:bottom w:val="none" w:sz="0" w:space="0" w:color="auto"/>
        <w:right w:val="none" w:sz="0" w:space="0" w:color="auto"/>
      </w:divBdr>
    </w:div>
    <w:div w:id="876553646">
      <w:bodyDiv w:val="1"/>
      <w:marLeft w:val="0"/>
      <w:marRight w:val="0"/>
      <w:marTop w:val="0"/>
      <w:marBottom w:val="0"/>
      <w:divBdr>
        <w:top w:val="none" w:sz="0" w:space="0" w:color="auto"/>
        <w:left w:val="none" w:sz="0" w:space="0" w:color="auto"/>
        <w:bottom w:val="none" w:sz="0" w:space="0" w:color="auto"/>
        <w:right w:val="none" w:sz="0" w:space="0" w:color="auto"/>
      </w:divBdr>
    </w:div>
    <w:div w:id="924653301">
      <w:bodyDiv w:val="1"/>
      <w:marLeft w:val="0"/>
      <w:marRight w:val="0"/>
      <w:marTop w:val="0"/>
      <w:marBottom w:val="0"/>
      <w:divBdr>
        <w:top w:val="none" w:sz="0" w:space="0" w:color="auto"/>
        <w:left w:val="none" w:sz="0" w:space="0" w:color="auto"/>
        <w:bottom w:val="none" w:sz="0" w:space="0" w:color="auto"/>
        <w:right w:val="none" w:sz="0" w:space="0" w:color="auto"/>
      </w:divBdr>
    </w:div>
    <w:div w:id="1026904333">
      <w:bodyDiv w:val="1"/>
      <w:marLeft w:val="0"/>
      <w:marRight w:val="0"/>
      <w:marTop w:val="0"/>
      <w:marBottom w:val="0"/>
      <w:divBdr>
        <w:top w:val="none" w:sz="0" w:space="0" w:color="auto"/>
        <w:left w:val="none" w:sz="0" w:space="0" w:color="auto"/>
        <w:bottom w:val="none" w:sz="0" w:space="0" w:color="auto"/>
        <w:right w:val="none" w:sz="0" w:space="0" w:color="auto"/>
      </w:divBdr>
    </w:div>
    <w:div w:id="1228299854">
      <w:bodyDiv w:val="1"/>
      <w:marLeft w:val="0"/>
      <w:marRight w:val="0"/>
      <w:marTop w:val="0"/>
      <w:marBottom w:val="0"/>
      <w:divBdr>
        <w:top w:val="none" w:sz="0" w:space="0" w:color="auto"/>
        <w:left w:val="none" w:sz="0" w:space="0" w:color="auto"/>
        <w:bottom w:val="none" w:sz="0" w:space="0" w:color="auto"/>
        <w:right w:val="none" w:sz="0" w:space="0" w:color="auto"/>
      </w:divBdr>
    </w:div>
    <w:div w:id="1359741742">
      <w:bodyDiv w:val="1"/>
      <w:marLeft w:val="0"/>
      <w:marRight w:val="0"/>
      <w:marTop w:val="0"/>
      <w:marBottom w:val="0"/>
      <w:divBdr>
        <w:top w:val="none" w:sz="0" w:space="0" w:color="auto"/>
        <w:left w:val="none" w:sz="0" w:space="0" w:color="auto"/>
        <w:bottom w:val="none" w:sz="0" w:space="0" w:color="auto"/>
        <w:right w:val="none" w:sz="0" w:space="0" w:color="auto"/>
      </w:divBdr>
    </w:div>
    <w:div w:id="18177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1.xlsx"/><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34B8-C1B2-4B9B-A0B6-E4DA4F50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21</Pages>
  <Words>4932</Words>
  <Characters>26790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RESUMEN GENERAL</vt:lpstr>
    </vt:vector>
  </TitlesOfParts>
  <Company>MINISTERIO HACIENDA</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GENERAL</dc:title>
  <dc:creator>Presupuesto</dc:creator>
  <cp:lastModifiedBy>MAURICIO SALAZAR ZUÑIGA</cp:lastModifiedBy>
  <cp:revision>57</cp:revision>
  <cp:lastPrinted>2016-12-12T14:37:00Z</cp:lastPrinted>
  <dcterms:created xsi:type="dcterms:W3CDTF">2018-01-17T16:34:00Z</dcterms:created>
  <dcterms:modified xsi:type="dcterms:W3CDTF">2018-01-23T16:52:00Z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